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6B9" w:rsidRPr="000466B9" w:rsidRDefault="000466B9" w:rsidP="000466B9">
      <w:pPr>
        <w:spacing w:before="100" w:beforeAutospacing="1" w:after="100" w:afterAutospacing="1"/>
        <w:jc w:val="left"/>
        <w:outlineLvl w:val="0"/>
        <w:rPr>
          <w:rFonts w:eastAsia="Times New Roman"/>
          <w:b/>
          <w:bCs/>
          <w:kern w:val="36"/>
          <w:sz w:val="32"/>
          <w:szCs w:val="32"/>
        </w:rPr>
      </w:pPr>
      <w:r>
        <w:rPr>
          <w:rFonts w:eastAsia="Times New Roman"/>
          <w:b/>
          <w:bCs/>
          <w:kern w:val="36"/>
          <w:sz w:val="32"/>
          <w:szCs w:val="32"/>
        </w:rPr>
        <w:t>Д</w:t>
      </w:r>
      <w:r w:rsidRPr="000466B9">
        <w:rPr>
          <w:rFonts w:eastAsia="Times New Roman"/>
          <w:b/>
          <w:bCs/>
          <w:kern w:val="36"/>
          <w:sz w:val="32"/>
          <w:szCs w:val="32"/>
        </w:rPr>
        <w:t>опълнителни трудови възнаграждения с постоянен и с непостоянен характер</w:t>
      </w:r>
    </w:p>
    <w:p w:rsidR="000466B9" w:rsidRPr="000466B9" w:rsidRDefault="000466B9" w:rsidP="000466B9">
      <w:pPr>
        <w:jc w:val="left"/>
        <w:rPr>
          <w:rFonts w:eastAsia="Times New Roman"/>
          <w:sz w:val="24"/>
          <w:szCs w:val="24"/>
        </w:rPr>
      </w:pPr>
    </w:p>
    <w:p w:rsidR="000466B9" w:rsidRPr="000466B9" w:rsidRDefault="000466B9" w:rsidP="000466B9">
      <w:pPr>
        <w:spacing w:before="100" w:beforeAutospacing="1" w:after="100" w:afterAutospacing="1"/>
        <w:jc w:val="left"/>
        <w:rPr>
          <w:rFonts w:eastAsia="Times New Roman"/>
          <w:sz w:val="24"/>
          <w:szCs w:val="24"/>
        </w:rPr>
      </w:pPr>
      <w:r w:rsidRPr="000466B9">
        <w:rPr>
          <w:rFonts w:eastAsia="Times New Roman"/>
          <w:sz w:val="24"/>
          <w:szCs w:val="24"/>
        </w:rPr>
        <w:t xml:space="preserve">В Централата на Синдиката на българските учители нееднократно са постъпвали запитвания отнасящи се до изплащането на допълнителното трудово възнаграждение за ПКС, за втори час на класа, за сумите които влизат при изчисляването на обезщетенията при пенсиониране и др. </w:t>
      </w:r>
    </w:p>
    <w:p w:rsidR="000466B9" w:rsidRPr="000466B9" w:rsidRDefault="000466B9" w:rsidP="000466B9">
      <w:pPr>
        <w:spacing w:before="100" w:beforeAutospacing="1" w:after="100" w:afterAutospacing="1"/>
        <w:jc w:val="left"/>
        <w:rPr>
          <w:rFonts w:eastAsia="Times New Roman"/>
          <w:sz w:val="24"/>
          <w:szCs w:val="24"/>
        </w:rPr>
      </w:pPr>
      <w:r w:rsidRPr="000466B9">
        <w:rPr>
          <w:rFonts w:eastAsia="Times New Roman"/>
          <w:sz w:val="24"/>
          <w:szCs w:val="24"/>
        </w:rPr>
        <w:t>Отговорът на повечето от тези въпроси се съдържа в характера на самите допълнителни трудови възнаграждения – т.е. дали те са с постоянен характер или не.</w:t>
      </w:r>
    </w:p>
    <w:p w:rsidR="000466B9" w:rsidRPr="000466B9" w:rsidRDefault="000466B9" w:rsidP="000466B9">
      <w:pPr>
        <w:spacing w:before="100" w:beforeAutospacing="1" w:after="100" w:afterAutospacing="1"/>
        <w:jc w:val="left"/>
        <w:rPr>
          <w:rFonts w:eastAsia="Times New Roman"/>
          <w:sz w:val="24"/>
          <w:szCs w:val="24"/>
        </w:rPr>
      </w:pPr>
      <w:r w:rsidRPr="000466B9">
        <w:rPr>
          <w:rFonts w:eastAsia="Times New Roman"/>
          <w:sz w:val="24"/>
          <w:szCs w:val="24"/>
        </w:rPr>
        <w:t xml:space="preserve">Нормативно видовите допълнителни възнаграждения и техния характер са определени в Наредба за структурата и организацията на работната заплата (ДВ, бр. 9 от 26.01.2007 г. </w:t>
      </w:r>
      <w:proofErr w:type="spellStart"/>
      <w:r w:rsidRPr="000466B9">
        <w:rPr>
          <w:rFonts w:eastAsia="Times New Roman"/>
          <w:sz w:val="24"/>
          <w:szCs w:val="24"/>
        </w:rPr>
        <w:t>посл</w:t>
      </w:r>
      <w:proofErr w:type="spellEnd"/>
      <w:r w:rsidRPr="000466B9">
        <w:rPr>
          <w:rFonts w:eastAsia="Times New Roman"/>
          <w:sz w:val="24"/>
          <w:szCs w:val="24"/>
        </w:rPr>
        <w:t>. доп., бр. 49 от 29.06.2012 г.). Според чл. 3 т. 2 съществуват „допълнителни трудови възнаграждения, определени в Кодекса на труда, в наредбата, в друг нормативен акт или в колективен трудов договор“. От текста е видно, че освен регламентираните в КТ и самата наредба могат да съществуват и други допълнителни трудови възнаграждения, определени в друг нормативен акт или КТД.</w:t>
      </w:r>
    </w:p>
    <w:p w:rsidR="000466B9" w:rsidRPr="000466B9" w:rsidRDefault="000466B9" w:rsidP="000466B9">
      <w:pPr>
        <w:spacing w:before="100" w:beforeAutospacing="1" w:after="100" w:afterAutospacing="1"/>
        <w:jc w:val="left"/>
        <w:rPr>
          <w:rFonts w:eastAsia="Times New Roman"/>
          <w:sz w:val="24"/>
          <w:szCs w:val="24"/>
        </w:rPr>
      </w:pPr>
      <w:r w:rsidRPr="000466B9">
        <w:rPr>
          <w:rFonts w:eastAsia="Times New Roman"/>
          <w:sz w:val="24"/>
          <w:szCs w:val="24"/>
        </w:rPr>
        <w:t>Такава могат да бъдат :</w:t>
      </w:r>
    </w:p>
    <w:p w:rsidR="000466B9" w:rsidRPr="000466B9" w:rsidRDefault="000466B9" w:rsidP="000466B9">
      <w:pPr>
        <w:spacing w:before="100" w:beforeAutospacing="1" w:after="100" w:afterAutospacing="1"/>
        <w:jc w:val="left"/>
        <w:rPr>
          <w:rFonts w:eastAsia="Times New Roman"/>
          <w:sz w:val="24"/>
          <w:szCs w:val="24"/>
        </w:rPr>
      </w:pPr>
      <w:r w:rsidRPr="000466B9">
        <w:rPr>
          <w:rFonts w:eastAsia="Times New Roman"/>
          <w:sz w:val="24"/>
          <w:szCs w:val="24"/>
        </w:rPr>
        <w:t>„1. постигнати резултати от труда - текущо, за година или за друг период;</w:t>
      </w:r>
    </w:p>
    <w:p w:rsidR="000466B9" w:rsidRPr="000466B9" w:rsidRDefault="000466B9" w:rsidP="000466B9">
      <w:pPr>
        <w:spacing w:before="100" w:beforeAutospacing="1" w:after="100" w:afterAutospacing="1"/>
        <w:jc w:val="left"/>
        <w:rPr>
          <w:rFonts w:eastAsia="Times New Roman"/>
          <w:sz w:val="24"/>
          <w:szCs w:val="24"/>
        </w:rPr>
      </w:pPr>
      <w:r w:rsidRPr="000466B9">
        <w:rPr>
          <w:rFonts w:eastAsia="Times New Roman"/>
          <w:sz w:val="24"/>
          <w:szCs w:val="24"/>
        </w:rPr>
        <w:t>2. промени в условията на труд с временен характер, които водят до допълнително нервно-психическо натоварване, и в други условия, увреждащи здравето на работника;</w:t>
      </w:r>
    </w:p>
    <w:p w:rsidR="000466B9" w:rsidRPr="000466B9" w:rsidRDefault="000466B9" w:rsidP="000466B9">
      <w:pPr>
        <w:spacing w:before="100" w:beforeAutospacing="1" w:after="100" w:afterAutospacing="1"/>
        <w:jc w:val="left"/>
        <w:rPr>
          <w:rFonts w:eastAsia="Times New Roman"/>
          <w:sz w:val="24"/>
          <w:szCs w:val="24"/>
        </w:rPr>
      </w:pPr>
      <w:r w:rsidRPr="000466B9">
        <w:rPr>
          <w:rFonts w:eastAsia="Times New Roman"/>
          <w:sz w:val="24"/>
          <w:szCs w:val="24"/>
        </w:rPr>
        <w:t>3. участие в печалбата;</w:t>
      </w:r>
    </w:p>
    <w:p w:rsidR="000466B9" w:rsidRPr="000466B9" w:rsidRDefault="000466B9" w:rsidP="000466B9">
      <w:pPr>
        <w:spacing w:before="100" w:beforeAutospacing="1" w:after="100" w:afterAutospacing="1"/>
        <w:jc w:val="left"/>
        <w:rPr>
          <w:rFonts w:eastAsia="Times New Roman"/>
          <w:sz w:val="24"/>
          <w:szCs w:val="24"/>
        </w:rPr>
      </w:pPr>
      <w:r w:rsidRPr="000466B9">
        <w:rPr>
          <w:rFonts w:eastAsia="Times New Roman"/>
          <w:sz w:val="24"/>
          <w:szCs w:val="24"/>
        </w:rPr>
        <w:t>4. други.“</w:t>
      </w:r>
    </w:p>
    <w:p w:rsidR="000466B9" w:rsidRPr="000466B9" w:rsidRDefault="000466B9" w:rsidP="000466B9">
      <w:pPr>
        <w:spacing w:before="100" w:beforeAutospacing="1" w:after="100" w:afterAutospacing="1"/>
        <w:jc w:val="left"/>
        <w:rPr>
          <w:rFonts w:eastAsia="Times New Roman"/>
          <w:sz w:val="24"/>
          <w:szCs w:val="24"/>
        </w:rPr>
      </w:pPr>
      <w:r w:rsidRPr="000466B9">
        <w:rPr>
          <w:rFonts w:eastAsia="Times New Roman"/>
          <w:sz w:val="24"/>
          <w:szCs w:val="24"/>
        </w:rPr>
        <w:t xml:space="preserve">Важно е да се отбележи, че според чл. 15., ал. 1 от наредбата “Допълнителните трудови възнаграждения по чл. 11 и 12 са с постоянен характер“, в действителност това са допълнителните възнаграждения за по-висока квалификация (образователна и научна степен „доктор“ или научна степен „доктор на науките“, както и за придобит трудов стаж и професионален опит. </w:t>
      </w:r>
    </w:p>
    <w:p w:rsidR="000466B9" w:rsidRPr="000466B9" w:rsidRDefault="000466B9" w:rsidP="000466B9">
      <w:pPr>
        <w:spacing w:before="100" w:beforeAutospacing="1" w:after="100" w:afterAutospacing="1"/>
        <w:jc w:val="left"/>
        <w:rPr>
          <w:rFonts w:eastAsia="Times New Roman"/>
          <w:sz w:val="24"/>
          <w:szCs w:val="24"/>
        </w:rPr>
      </w:pPr>
      <w:r w:rsidRPr="000466B9">
        <w:rPr>
          <w:rFonts w:eastAsia="Times New Roman"/>
          <w:sz w:val="24"/>
          <w:szCs w:val="24"/>
        </w:rPr>
        <w:t xml:space="preserve">За системата на образованието в Наредба № 1 от 4 януари 2010 г. за работните заплати на персонала в звената от системата на народната просвета (ДВ. бр.4, 2010г., </w:t>
      </w:r>
      <w:proofErr w:type="spellStart"/>
      <w:r w:rsidRPr="000466B9">
        <w:rPr>
          <w:rFonts w:eastAsia="Times New Roman"/>
          <w:sz w:val="24"/>
          <w:szCs w:val="24"/>
        </w:rPr>
        <w:t>посл</w:t>
      </w:r>
      <w:proofErr w:type="spellEnd"/>
      <w:r w:rsidRPr="000466B9">
        <w:rPr>
          <w:rFonts w:eastAsia="Times New Roman"/>
          <w:sz w:val="24"/>
          <w:szCs w:val="24"/>
        </w:rPr>
        <w:t>. изм. ДВ. бр.71, 2014г.) е включен текст, според който постоянен характер има допълнителното трудово възнаграждение за по-висока Професионално-квалификационна степен – чл. 8, ал.6 „Допълнителното възнаграждение за придобита професионално-квалификационна степен по ал. 1, т. 2 е с постоянен характер“.</w:t>
      </w:r>
    </w:p>
    <w:p w:rsidR="000466B9" w:rsidRPr="000466B9" w:rsidRDefault="000466B9" w:rsidP="000466B9">
      <w:pPr>
        <w:spacing w:before="100" w:beforeAutospacing="1" w:after="100" w:afterAutospacing="1"/>
        <w:jc w:val="left"/>
        <w:rPr>
          <w:rFonts w:eastAsia="Times New Roman"/>
          <w:sz w:val="24"/>
          <w:szCs w:val="24"/>
        </w:rPr>
      </w:pPr>
      <w:r w:rsidRPr="000466B9">
        <w:rPr>
          <w:rFonts w:eastAsia="Times New Roman"/>
          <w:sz w:val="24"/>
          <w:szCs w:val="24"/>
        </w:rPr>
        <w:t xml:space="preserve">От написаното до тук следва, че при формирането на работните заплати на педагогическите кадри работещи в системата на народната просвета допълнителните трудови възнаграждения с постоянен характер са тези за придобит трудов стаж и професионален опит и за по-висока квалификация (степени „доктор“ или „доктор на </w:t>
      </w:r>
      <w:r w:rsidRPr="000466B9">
        <w:rPr>
          <w:rFonts w:eastAsia="Times New Roman"/>
          <w:sz w:val="24"/>
          <w:szCs w:val="24"/>
        </w:rPr>
        <w:lastRenderedPageBreak/>
        <w:t xml:space="preserve">науките“ или ПКС. Тези допълнителни трудови възнаграждения са постоянен елемент от брутната работна заплата и се изплащат целогодишно. </w:t>
      </w:r>
    </w:p>
    <w:p w:rsidR="000466B9" w:rsidRPr="000466B9" w:rsidRDefault="000466B9" w:rsidP="000466B9">
      <w:pPr>
        <w:spacing w:before="100" w:beforeAutospacing="1" w:after="100" w:afterAutospacing="1"/>
        <w:jc w:val="left"/>
        <w:rPr>
          <w:rFonts w:eastAsia="Times New Roman"/>
          <w:sz w:val="24"/>
          <w:szCs w:val="24"/>
        </w:rPr>
      </w:pPr>
      <w:r w:rsidRPr="000466B9">
        <w:rPr>
          <w:rFonts w:eastAsia="Times New Roman"/>
          <w:sz w:val="24"/>
          <w:szCs w:val="24"/>
        </w:rPr>
        <w:t xml:space="preserve">На задаваните често въпроси „Защо не ми се изплаща ПКС по време на платения отпуск? Не е отразено във фиша за работната заплата?“ – отговорът е – това допълнително трудово възнаграждение се изплаща и по време на отпуск, но не се отразява във фиша, защото самото възнаграждение се изчислява по реда на чл. 177, ал. 1 от Кодекса на труда т.е. „изчислява се от начисленото при същия работодател </w:t>
      </w:r>
      <w:proofErr w:type="spellStart"/>
      <w:r w:rsidRPr="000466B9">
        <w:rPr>
          <w:rFonts w:eastAsia="Times New Roman"/>
          <w:sz w:val="24"/>
          <w:szCs w:val="24"/>
        </w:rPr>
        <w:t>среднодневно</w:t>
      </w:r>
      <w:proofErr w:type="spellEnd"/>
      <w:r w:rsidRPr="000466B9">
        <w:rPr>
          <w:rFonts w:eastAsia="Times New Roman"/>
          <w:sz w:val="24"/>
          <w:szCs w:val="24"/>
        </w:rPr>
        <w:t xml:space="preserve"> брутно трудово възнаграждение за последния календарен месец предхождащ ползването на отпуска...“. Във фиша за работна заплата се отразява примерно така: „платен годишен отпуск – 22 работни дни – възнаграждение – ххх лв.“, в сумата на това възнаграждение – ххх лв., което е изчислено на база предходния месец се включва и възнаграждението за ПКС.</w:t>
      </w:r>
    </w:p>
    <w:p w:rsidR="000466B9" w:rsidRPr="000466B9" w:rsidRDefault="000466B9" w:rsidP="000466B9">
      <w:pPr>
        <w:spacing w:before="100" w:beforeAutospacing="1" w:after="100" w:afterAutospacing="1"/>
        <w:jc w:val="left"/>
        <w:rPr>
          <w:rFonts w:eastAsia="Times New Roman"/>
          <w:sz w:val="24"/>
          <w:szCs w:val="24"/>
        </w:rPr>
      </w:pPr>
      <w:r w:rsidRPr="000466B9">
        <w:rPr>
          <w:rFonts w:eastAsia="Times New Roman"/>
          <w:sz w:val="24"/>
          <w:szCs w:val="24"/>
        </w:rPr>
        <w:t>Важно е да се знае, че допълнителните трудови възнаграждения с постоянен характер се включват освен във възнаграждението за платен годишен отпуск и при формирането на обезщетенията по чл. 228 от Кодекса на труда (чл. 17, ал 1 на Наредба за структура и организация....:</w:t>
      </w:r>
    </w:p>
    <w:p w:rsidR="000466B9" w:rsidRPr="000466B9" w:rsidRDefault="000466B9" w:rsidP="000466B9">
      <w:pPr>
        <w:spacing w:before="100" w:beforeAutospacing="1" w:after="100" w:afterAutospacing="1"/>
        <w:jc w:val="left"/>
        <w:rPr>
          <w:rFonts w:eastAsia="Times New Roman"/>
          <w:sz w:val="24"/>
          <w:szCs w:val="24"/>
        </w:rPr>
      </w:pPr>
      <w:r w:rsidRPr="000466B9">
        <w:rPr>
          <w:rFonts w:eastAsia="Times New Roman"/>
          <w:sz w:val="24"/>
          <w:szCs w:val="24"/>
        </w:rPr>
        <w:t>„В брутното трудово възнаграждение за определяне на възнаграждението за платен годишен отпуск по чл. 177 или на обезщетенията по чл. 228 от Кодекса на труда се включват:</w:t>
      </w:r>
    </w:p>
    <w:p w:rsidR="000466B9" w:rsidRPr="000466B9" w:rsidRDefault="000466B9" w:rsidP="000466B9">
      <w:pPr>
        <w:spacing w:before="100" w:beforeAutospacing="1" w:after="100" w:afterAutospacing="1"/>
        <w:jc w:val="left"/>
        <w:rPr>
          <w:rFonts w:eastAsia="Times New Roman"/>
          <w:sz w:val="24"/>
          <w:szCs w:val="24"/>
        </w:rPr>
      </w:pPr>
      <w:r w:rsidRPr="000466B9">
        <w:rPr>
          <w:rFonts w:eastAsia="Times New Roman"/>
          <w:sz w:val="24"/>
          <w:szCs w:val="24"/>
        </w:rPr>
        <w:t>1. основната работна заплата за отработеното време;</w:t>
      </w:r>
    </w:p>
    <w:p w:rsidR="000466B9" w:rsidRPr="000466B9" w:rsidRDefault="000466B9" w:rsidP="000466B9">
      <w:pPr>
        <w:spacing w:before="100" w:beforeAutospacing="1" w:after="100" w:afterAutospacing="1"/>
        <w:jc w:val="left"/>
        <w:rPr>
          <w:rFonts w:eastAsia="Times New Roman"/>
          <w:sz w:val="24"/>
          <w:szCs w:val="24"/>
        </w:rPr>
      </w:pPr>
      <w:r w:rsidRPr="000466B9">
        <w:rPr>
          <w:rFonts w:eastAsia="Times New Roman"/>
          <w:sz w:val="24"/>
          <w:szCs w:val="24"/>
        </w:rPr>
        <w:t>2. възнаграждението над основната работна заплата, определено според прилаганите системи за заплащане на труда;</w:t>
      </w:r>
    </w:p>
    <w:p w:rsidR="000466B9" w:rsidRPr="000466B9" w:rsidRDefault="000466B9" w:rsidP="000466B9">
      <w:pPr>
        <w:spacing w:before="100" w:beforeAutospacing="1" w:after="100" w:afterAutospacing="1"/>
        <w:jc w:val="left"/>
        <w:rPr>
          <w:rFonts w:eastAsia="Times New Roman"/>
          <w:sz w:val="24"/>
          <w:szCs w:val="24"/>
        </w:rPr>
      </w:pPr>
      <w:r w:rsidRPr="000466B9">
        <w:rPr>
          <w:rFonts w:eastAsia="Times New Roman"/>
          <w:sz w:val="24"/>
          <w:szCs w:val="24"/>
        </w:rPr>
        <w:t>3. допълнителните трудови възнаграждения, определени с наредбата, с друг нормативен акт, с колективен или с индивидуален трудов договор или с вътрешен акт на работодателя, които имат постоянен характер;.......... “</w:t>
      </w:r>
    </w:p>
    <w:p w:rsidR="000466B9" w:rsidRPr="000466B9" w:rsidRDefault="000466B9" w:rsidP="000466B9">
      <w:pPr>
        <w:spacing w:before="100" w:beforeAutospacing="1" w:after="100" w:afterAutospacing="1"/>
        <w:jc w:val="left"/>
        <w:rPr>
          <w:rFonts w:eastAsia="Times New Roman"/>
          <w:sz w:val="24"/>
          <w:szCs w:val="24"/>
        </w:rPr>
      </w:pPr>
      <w:r w:rsidRPr="000466B9">
        <w:rPr>
          <w:rFonts w:eastAsia="Times New Roman"/>
          <w:sz w:val="24"/>
          <w:szCs w:val="24"/>
        </w:rPr>
        <w:t>Така допълнителните трудови възнаграждения за трудов стаж и професионален опит и за по-висока квалификация са елемент на обезщетенията, които най-често са тези по чл. 220, ал. 1 – за неспазено предизвестие, чл. 222, ал. 1 – за оставане един (по КТД – два) месеца без работа, чл. 222, ал. 3 – 2/6 (по КТД – 8) заплати при пенсиониране, чл. 224 – за неизползвания платен годишен отпуск.</w:t>
      </w:r>
    </w:p>
    <w:p w:rsidR="000466B9" w:rsidRPr="000466B9" w:rsidRDefault="000466B9" w:rsidP="000466B9">
      <w:pPr>
        <w:spacing w:before="100" w:beforeAutospacing="1" w:after="100" w:afterAutospacing="1"/>
        <w:jc w:val="left"/>
        <w:rPr>
          <w:rFonts w:eastAsia="Times New Roman"/>
          <w:sz w:val="24"/>
          <w:szCs w:val="24"/>
        </w:rPr>
      </w:pPr>
      <w:r w:rsidRPr="000466B9">
        <w:rPr>
          <w:rFonts w:eastAsia="Times New Roman"/>
          <w:sz w:val="24"/>
          <w:szCs w:val="24"/>
        </w:rPr>
        <w:t>Всички останали съществуващи в системата ни допълнителни трудови възнаграждения определени с Наредба № 1 за работните заплати или договорени в колективен трудов договор имат непостоянен характер и се изплащат или за действително извършена работа (лекторски час, проверка на изпитни работи), или само по време на работа (ползване на чужд език, час на класа, работа с деца със СОП и др.). Тези допълнителни трудови възнаграждения не се включват и при изчисляване на възнаграждението за платен годишен отпуск и при обезщетенията по чл. 228 от КТ.</w:t>
      </w:r>
    </w:p>
    <w:p w:rsidR="000466B9" w:rsidRPr="000466B9" w:rsidRDefault="000466B9" w:rsidP="000466B9">
      <w:pPr>
        <w:spacing w:before="100" w:beforeAutospacing="1" w:after="100" w:afterAutospacing="1"/>
        <w:jc w:val="left"/>
        <w:rPr>
          <w:rFonts w:eastAsia="Times New Roman"/>
          <w:sz w:val="24"/>
          <w:szCs w:val="24"/>
        </w:rPr>
      </w:pPr>
      <w:r w:rsidRPr="000466B9">
        <w:rPr>
          <w:rFonts w:eastAsia="Times New Roman"/>
          <w:sz w:val="24"/>
          <w:szCs w:val="24"/>
        </w:rPr>
        <w:t xml:space="preserve">Иван Кънчев, Йордан </w:t>
      </w:r>
      <w:proofErr w:type="spellStart"/>
      <w:r w:rsidRPr="000466B9">
        <w:rPr>
          <w:rFonts w:eastAsia="Times New Roman"/>
          <w:sz w:val="24"/>
          <w:szCs w:val="24"/>
        </w:rPr>
        <w:t>Красев</w:t>
      </w:r>
      <w:proofErr w:type="spellEnd"/>
      <w:r w:rsidRPr="000466B9">
        <w:rPr>
          <w:rFonts w:eastAsia="Times New Roman"/>
          <w:sz w:val="24"/>
          <w:szCs w:val="24"/>
        </w:rPr>
        <w:t xml:space="preserve"> </w:t>
      </w:r>
    </w:p>
    <w:p w:rsidR="003C5A29" w:rsidRDefault="003C5A29"/>
    <w:sectPr w:rsidR="003C5A29" w:rsidSect="003C5A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466B9"/>
    <w:rsid w:val="00011CF2"/>
    <w:rsid w:val="00027E70"/>
    <w:rsid w:val="000466B9"/>
    <w:rsid w:val="000513DE"/>
    <w:rsid w:val="000744E5"/>
    <w:rsid w:val="0009564A"/>
    <w:rsid w:val="000B7D66"/>
    <w:rsid w:val="000E6F45"/>
    <w:rsid w:val="000E6FB4"/>
    <w:rsid w:val="00114814"/>
    <w:rsid w:val="0014414D"/>
    <w:rsid w:val="00152075"/>
    <w:rsid w:val="00153B5C"/>
    <w:rsid w:val="00174455"/>
    <w:rsid w:val="001A6E12"/>
    <w:rsid w:val="001E3D39"/>
    <w:rsid w:val="001E6950"/>
    <w:rsid w:val="001F38F3"/>
    <w:rsid w:val="0021363A"/>
    <w:rsid w:val="00240695"/>
    <w:rsid w:val="00250913"/>
    <w:rsid w:val="00250E18"/>
    <w:rsid w:val="00260F38"/>
    <w:rsid w:val="0026587D"/>
    <w:rsid w:val="00292206"/>
    <w:rsid w:val="0029361F"/>
    <w:rsid w:val="002A20C5"/>
    <w:rsid w:val="002E299D"/>
    <w:rsid w:val="002E6665"/>
    <w:rsid w:val="002F438F"/>
    <w:rsid w:val="00357AD2"/>
    <w:rsid w:val="00367606"/>
    <w:rsid w:val="00394C5C"/>
    <w:rsid w:val="00396683"/>
    <w:rsid w:val="003A08DA"/>
    <w:rsid w:val="003C5A29"/>
    <w:rsid w:val="003E2D1A"/>
    <w:rsid w:val="00404E44"/>
    <w:rsid w:val="0042048C"/>
    <w:rsid w:val="00427F4F"/>
    <w:rsid w:val="004419B3"/>
    <w:rsid w:val="0047700A"/>
    <w:rsid w:val="00484AA1"/>
    <w:rsid w:val="00490AE9"/>
    <w:rsid w:val="00492204"/>
    <w:rsid w:val="00492D77"/>
    <w:rsid w:val="00494970"/>
    <w:rsid w:val="004B33E7"/>
    <w:rsid w:val="0051501A"/>
    <w:rsid w:val="0058100F"/>
    <w:rsid w:val="00594AE2"/>
    <w:rsid w:val="005B3128"/>
    <w:rsid w:val="005D6588"/>
    <w:rsid w:val="00601C8E"/>
    <w:rsid w:val="00637312"/>
    <w:rsid w:val="0064790F"/>
    <w:rsid w:val="00655F6B"/>
    <w:rsid w:val="007260B4"/>
    <w:rsid w:val="007309EE"/>
    <w:rsid w:val="0073184C"/>
    <w:rsid w:val="00763E99"/>
    <w:rsid w:val="007B1F1E"/>
    <w:rsid w:val="007D1DCF"/>
    <w:rsid w:val="008150F0"/>
    <w:rsid w:val="00842290"/>
    <w:rsid w:val="00886A11"/>
    <w:rsid w:val="008C2C79"/>
    <w:rsid w:val="008D5B62"/>
    <w:rsid w:val="008E6B80"/>
    <w:rsid w:val="009000E9"/>
    <w:rsid w:val="00952E62"/>
    <w:rsid w:val="00985ACC"/>
    <w:rsid w:val="0099284C"/>
    <w:rsid w:val="009B48D0"/>
    <w:rsid w:val="009B5518"/>
    <w:rsid w:val="009F37AC"/>
    <w:rsid w:val="00A17737"/>
    <w:rsid w:val="00A502DA"/>
    <w:rsid w:val="00A93FCE"/>
    <w:rsid w:val="00A951D9"/>
    <w:rsid w:val="00AB1A36"/>
    <w:rsid w:val="00AC2582"/>
    <w:rsid w:val="00B025C7"/>
    <w:rsid w:val="00B07DD3"/>
    <w:rsid w:val="00B36C8A"/>
    <w:rsid w:val="00B405D9"/>
    <w:rsid w:val="00B64C2B"/>
    <w:rsid w:val="00B65031"/>
    <w:rsid w:val="00BF5D80"/>
    <w:rsid w:val="00C33014"/>
    <w:rsid w:val="00C34C67"/>
    <w:rsid w:val="00C46974"/>
    <w:rsid w:val="00C606F3"/>
    <w:rsid w:val="00C92652"/>
    <w:rsid w:val="00CB2A6D"/>
    <w:rsid w:val="00CB5863"/>
    <w:rsid w:val="00CB7373"/>
    <w:rsid w:val="00CD66BB"/>
    <w:rsid w:val="00CE76FE"/>
    <w:rsid w:val="00DB2073"/>
    <w:rsid w:val="00DD26F2"/>
    <w:rsid w:val="00DD6D70"/>
    <w:rsid w:val="00DF22E4"/>
    <w:rsid w:val="00DF48C4"/>
    <w:rsid w:val="00E028A0"/>
    <w:rsid w:val="00E03CE9"/>
    <w:rsid w:val="00E25EA6"/>
    <w:rsid w:val="00E669C9"/>
    <w:rsid w:val="00E67C40"/>
    <w:rsid w:val="00E9413E"/>
    <w:rsid w:val="00ED17E8"/>
    <w:rsid w:val="00EE502F"/>
    <w:rsid w:val="00F005A5"/>
    <w:rsid w:val="00F257B2"/>
    <w:rsid w:val="00F336ED"/>
    <w:rsid w:val="00F9019D"/>
    <w:rsid w:val="00F931E6"/>
    <w:rsid w:val="00FE2DE4"/>
  </w:rsids>
  <m:mathPr>
    <m:mathFont m:val="Cambria Math"/>
    <m:brkBin m:val="before"/>
    <m:brkBinSub m:val="--"/>
    <m:smallFrac m:val="off"/>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8"/>
        <w:szCs w:val="22"/>
        <w:lang w:val="bg-BG"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A29"/>
  </w:style>
  <w:style w:type="paragraph" w:styleId="Heading1">
    <w:name w:val="heading 1"/>
    <w:basedOn w:val="Normal"/>
    <w:link w:val="Heading1Char"/>
    <w:uiPriority w:val="9"/>
    <w:qFormat/>
    <w:rsid w:val="000466B9"/>
    <w:pPr>
      <w:spacing w:before="100" w:beforeAutospacing="1" w:after="100" w:afterAutospacing="1"/>
      <w:jc w:val="left"/>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6B9"/>
    <w:rPr>
      <w:rFonts w:eastAsia="Times New Roman"/>
      <w:b/>
      <w:bCs/>
      <w:kern w:val="36"/>
      <w:sz w:val="48"/>
      <w:szCs w:val="48"/>
    </w:rPr>
  </w:style>
  <w:style w:type="paragraph" w:styleId="NormalWeb">
    <w:name w:val="Normal (Web)"/>
    <w:basedOn w:val="Normal"/>
    <w:uiPriority w:val="99"/>
    <w:semiHidden/>
    <w:unhideWhenUsed/>
    <w:rsid w:val="000466B9"/>
    <w:pPr>
      <w:spacing w:before="100" w:beforeAutospacing="1" w:after="100" w:afterAutospacing="1"/>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61876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767</Words>
  <Characters>4374</Characters>
  <Application>Microsoft Office Word</Application>
  <DocSecurity>0</DocSecurity>
  <Lines>36</Lines>
  <Paragraphs>10</Paragraphs>
  <ScaleCrop>false</ScaleCrop>
  <Company>Grizli777</Company>
  <LinksUpToDate>false</LinksUpToDate>
  <CharactersWithSpaces>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2014-11-18T13:49:00Z</dcterms:created>
  <dcterms:modified xsi:type="dcterms:W3CDTF">2014-11-18T13:55:00Z</dcterms:modified>
</cp:coreProperties>
</file>