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572DE2" w:rsidRPr="00572DE2" w:rsidTr="00572D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2DE2" w:rsidRPr="00572DE2" w:rsidRDefault="00572DE2" w:rsidP="00572DE2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sz w:val="24"/>
                <w:szCs w:val="24"/>
              </w:rPr>
              <w:t> Народно събрание</w:t>
            </w:r>
          </w:p>
        </w:tc>
      </w:tr>
      <w:tr w:rsidR="00572DE2" w:rsidRPr="00572DE2" w:rsidTr="00572D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7"/>
              <w:gridCol w:w="565"/>
            </w:tblGrid>
            <w:tr w:rsidR="00572DE2" w:rsidRPr="00572DE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2DE2" w:rsidRPr="00572DE2" w:rsidRDefault="00572DE2" w:rsidP="00572DE2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572DE2">
                    <w:rPr>
                      <w:rFonts w:eastAsia="Times New Roman"/>
                      <w:sz w:val="24"/>
                      <w:szCs w:val="24"/>
                    </w:rPr>
                    <w:t>брой: 99, от дата 2.12.2014 г.   Официален раздел / НАРОДНО СЪБРАНИЕ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DE2" w:rsidRPr="00572DE2" w:rsidRDefault="00572DE2" w:rsidP="00572DE2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572DE2">
                    <w:rPr>
                      <w:rFonts w:eastAsia="Times New Roman"/>
                      <w:sz w:val="24"/>
                      <w:szCs w:val="24"/>
                    </w:rPr>
                    <w:t>стр.6</w:t>
                  </w:r>
                </w:p>
              </w:tc>
            </w:tr>
          </w:tbl>
          <w:p w:rsidR="00572DE2" w:rsidRPr="00572DE2" w:rsidRDefault="00572DE2" w:rsidP="00572DE2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72DE2" w:rsidRPr="00572DE2" w:rsidTr="00572D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2DE2" w:rsidRPr="00572DE2" w:rsidRDefault="00572DE2" w:rsidP="00572DE2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72DE2" w:rsidRPr="00572DE2" w:rsidTr="00572D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2DE2" w:rsidRPr="00572DE2" w:rsidRDefault="00572DE2" w:rsidP="00572DE2">
            <w:pPr>
              <w:jc w:val="left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572DE2" w:rsidRPr="00572DE2" w:rsidRDefault="00572DE2" w:rsidP="00572DE2">
            <w:pPr>
              <w:jc w:val="left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572DE2">
              <w:rPr>
                <w:rFonts w:eastAsia="Times New Roman"/>
                <w:b/>
                <w:sz w:val="24"/>
                <w:szCs w:val="24"/>
                <w:u w:val="single"/>
              </w:rPr>
              <w:t>Решение за избиране на Комисия по образованието и науката</w:t>
            </w:r>
          </w:p>
        </w:tc>
      </w:tr>
      <w:tr w:rsidR="00572DE2" w:rsidRPr="00572DE2" w:rsidTr="00572D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2DE2" w:rsidRPr="00572DE2" w:rsidRDefault="00572DE2" w:rsidP="00572DE2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72DE2" w:rsidRPr="00572DE2" w:rsidTr="00572D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2DE2" w:rsidRPr="00572DE2" w:rsidRDefault="00572DE2" w:rsidP="00572DE2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sz w:val="24"/>
                <w:szCs w:val="24"/>
              </w:rPr>
              <w:t> </w:t>
            </w:r>
          </w:p>
          <w:p w:rsidR="00572DE2" w:rsidRPr="00572DE2" w:rsidRDefault="00572DE2" w:rsidP="00572DE2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572DE2" w:rsidRPr="00572DE2" w:rsidRDefault="00572DE2" w:rsidP="00572DE2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избиране на Комисия по образованието и науката</w:t>
            </w:r>
          </w:p>
          <w:p w:rsidR="00572DE2" w:rsidRPr="00572DE2" w:rsidRDefault="00572DE2" w:rsidP="00572DE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color w:val="000000"/>
                <w:sz w:val="24"/>
                <w:szCs w:val="24"/>
              </w:rPr>
              <w:t>Народното събрание на основание чл. 79, ал. 1 от Конституцията на Република България, чл. 16, ал. 1 и ал. 2, т. 11 и чл. 20, ал. 1, 2 и 3 от Правилника за организацията и дейността на Народното събрание</w:t>
            </w:r>
          </w:p>
          <w:p w:rsidR="00572DE2" w:rsidRPr="00572DE2" w:rsidRDefault="00572DE2" w:rsidP="00572DE2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РЕШИ:</w:t>
            </w:r>
          </w:p>
          <w:p w:rsidR="00572DE2" w:rsidRPr="00572DE2" w:rsidRDefault="00572DE2" w:rsidP="00572DE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572DE2">
              <w:rPr>
                <w:rFonts w:eastAsia="Times New Roman"/>
                <w:color w:val="000000"/>
                <w:sz w:val="24"/>
                <w:szCs w:val="24"/>
              </w:rPr>
              <w:t xml:space="preserve"> Комисията по образованието и науката се състои от 20 народни представители, от които: 7 от парламентарната група на ПП ГЕРБ, 3 от парламентарната група на БСП лява България, 3 от парламентарната група на Движение за права и свободи, 2 от парламентарната група на Реформаторски блок, 2 от парламентарната група на Патриотичен фронт, 1 от парламентарната група на Български демократичен център, 1 от парламентарната група на партия АТАКА и 1 от парламентарната група на АБВ.</w:t>
            </w:r>
          </w:p>
          <w:p w:rsidR="00572DE2" w:rsidRPr="00572DE2" w:rsidRDefault="00572DE2" w:rsidP="00572DE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572DE2">
              <w:rPr>
                <w:rFonts w:eastAsia="Times New Roman"/>
                <w:color w:val="000000"/>
                <w:sz w:val="24"/>
                <w:szCs w:val="24"/>
              </w:rPr>
              <w:t xml:space="preserve"> Избира за членове на комисията: Галя Енева Захариева, Ирена Иванова Коцева, Корнелия Добрева Маринова, Красимира Пенева Анастасова, Милена Цветанова Дамянова, Снежана Георгиева Дукова, Стефани Михнева Михайлова, Мариана Радева Бояджиева, Стоян Михайлов Мирчев, Валери Мирчев </w:t>
            </w:r>
            <w:proofErr w:type="spellStart"/>
            <w:r w:rsidRPr="00572DE2">
              <w:rPr>
                <w:rFonts w:eastAsia="Times New Roman"/>
                <w:color w:val="000000"/>
                <w:sz w:val="24"/>
                <w:szCs w:val="24"/>
              </w:rPr>
              <w:t>Жаблянов</w:t>
            </w:r>
            <w:proofErr w:type="spellEnd"/>
            <w:r w:rsidRPr="00572DE2">
              <w:rPr>
                <w:rFonts w:eastAsia="Times New Roman"/>
                <w:color w:val="000000"/>
                <w:sz w:val="24"/>
                <w:szCs w:val="24"/>
              </w:rPr>
              <w:t xml:space="preserve">, Лютви Ахмед Местан, Мариана Василева Георгиева-Бенчева, </w:t>
            </w:r>
            <w:proofErr w:type="spellStart"/>
            <w:r w:rsidRPr="00572DE2">
              <w:rPr>
                <w:rFonts w:eastAsia="Times New Roman"/>
                <w:color w:val="000000"/>
                <w:sz w:val="24"/>
                <w:szCs w:val="24"/>
              </w:rPr>
              <w:t>Бюнямин</w:t>
            </w:r>
            <w:proofErr w:type="spellEnd"/>
            <w:r w:rsidRPr="00572DE2">
              <w:rPr>
                <w:rFonts w:eastAsia="Times New Roman"/>
                <w:color w:val="000000"/>
                <w:sz w:val="24"/>
                <w:szCs w:val="24"/>
              </w:rPr>
              <w:t xml:space="preserve"> Хюсеин Хасан, Борислав Любенов Великов, Бойка Грозева Маринска, Красимир Илиев Богданов, Милен Василев Михов, Стефан Георгиев Кенов, Станислав Тодоров </w:t>
            </w:r>
            <w:proofErr w:type="spellStart"/>
            <w:r w:rsidRPr="00572DE2">
              <w:rPr>
                <w:rFonts w:eastAsia="Times New Roman"/>
                <w:color w:val="000000"/>
                <w:sz w:val="24"/>
                <w:szCs w:val="24"/>
              </w:rPr>
              <w:t>Станилов</w:t>
            </w:r>
            <w:proofErr w:type="spellEnd"/>
            <w:r w:rsidRPr="00572DE2">
              <w:rPr>
                <w:rFonts w:eastAsia="Times New Roman"/>
                <w:color w:val="000000"/>
                <w:sz w:val="24"/>
                <w:szCs w:val="24"/>
              </w:rPr>
              <w:t>, Мариана Георгиева Тодорова.</w:t>
            </w:r>
          </w:p>
          <w:p w:rsidR="00572DE2" w:rsidRPr="00572DE2" w:rsidRDefault="00572DE2" w:rsidP="00572DE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572DE2">
              <w:rPr>
                <w:rFonts w:eastAsia="Times New Roman"/>
                <w:color w:val="000000"/>
                <w:sz w:val="24"/>
                <w:szCs w:val="24"/>
              </w:rPr>
              <w:t>Избира от членовете по т. 2 ръководство на комисията в състав:</w:t>
            </w:r>
          </w:p>
          <w:p w:rsidR="00572DE2" w:rsidRPr="00572DE2" w:rsidRDefault="00572DE2" w:rsidP="00572DE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color w:val="000000"/>
                <w:sz w:val="24"/>
                <w:szCs w:val="24"/>
              </w:rPr>
              <w:t>Председател: Милена Цветанова Дамянова;</w:t>
            </w:r>
          </w:p>
          <w:p w:rsidR="00572DE2" w:rsidRPr="00572DE2" w:rsidRDefault="00572DE2" w:rsidP="00572DE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color w:val="000000"/>
                <w:spacing w:val="3"/>
                <w:sz w:val="24"/>
                <w:szCs w:val="24"/>
              </w:rPr>
              <w:t>Заместник-председатели: Корнелия Добрева Маринова, Мариана Радева Бояджиева, Мариана Василева Георгиева-Бенчева, Борислав Любенов Великов, Милен Василев Михов.</w:t>
            </w:r>
          </w:p>
          <w:p w:rsidR="00572DE2" w:rsidRPr="00572DE2" w:rsidRDefault="00572DE2" w:rsidP="00572DE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color w:val="000000"/>
                <w:sz w:val="24"/>
                <w:szCs w:val="24"/>
              </w:rPr>
              <w:t>Решението е прието от 43-то Народно събрание на 28 ноември 2014 г. и е подпечатано с официалния печат на Народното събрание.</w:t>
            </w:r>
          </w:p>
          <w:p w:rsidR="00572DE2" w:rsidRPr="00572DE2" w:rsidRDefault="00572DE2" w:rsidP="00572DE2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color w:val="000000"/>
                <w:sz w:val="24"/>
                <w:szCs w:val="24"/>
              </w:rPr>
              <w:t xml:space="preserve">Председател на Народното събрание: </w:t>
            </w:r>
            <w:r w:rsidRPr="00572DE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Цецка Цачева</w:t>
            </w:r>
          </w:p>
          <w:p w:rsidR="00572DE2" w:rsidRPr="00572DE2" w:rsidRDefault="00572DE2" w:rsidP="00572DE2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572DE2">
              <w:rPr>
                <w:rFonts w:eastAsia="Times New Roman"/>
                <w:color w:val="000000"/>
                <w:sz w:val="24"/>
                <w:szCs w:val="24"/>
              </w:rPr>
              <w:t>8446</w:t>
            </w:r>
          </w:p>
        </w:tc>
      </w:tr>
      <w:tr w:rsidR="00572DE2" w:rsidRPr="00572DE2" w:rsidTr="00572D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2DE2" w:rsidRPr="00572DE2" w:rsidRDefault="00572DE2" w:rsidP="00572DE2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C1E29" w:rsidRPr="00572DE2" w:rsidRDefault="00CC1E29" w:rsidP="00572DE2"/>
    <w:sectPr w:rsidR="00CC1E29" w:rsidRPr="00572DE2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1FA5"/>
    <w:rsid w:val="00011CF2"/>
    <w:rsid w:val="00020994"/>
    <w:rsid w:val="00027E70"/>
    <w:rsid w:val="000513DE"/>
    <w:rsid w:val="000744E5"/>
    <w:rsid w:val="0009564A"/>
    <w:rsid w:val="000B2565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87B62"/>
    <w:rsid w:val="00292206"/>
    <w:rsid w:val="0029361F"/>
    <w:rsid w:val="002A20C5"/>
    <w:rsid w:val="002E1FA5"/>
    <w:rsid w:val="002E299D"/>
    <w:rsid w:val="002E6665"/>
    <w:rsid w:val="002F438F"/>
    <w:rsid w:val="00357AD2"/>
    <w:rsid w:val="00364631"/>
    <w:rsid w:val="00367606"/>
    <w:rsid w:val="00387444"/>
    <w:rsid w:val="00394C5C"/>
    <w:rsid w:val="00396683"/>
    <w:rsid w:val="003A08DA"/>
    <w:rsid w:val="003C5A29"/>
    <w:rsid w:val="003E2D1A"/>
    <w:rsid w:val="00404DDC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1638"/>
    <w:rsid w:val="004B33E7"/>
    <w:rsid w:val="0051501A"/>
    <w:rsid w:val="00572DE2"/>
    <w:rsid w:val="0058100F"/>
    <w:rsid w:val="00594AE2"/>
    <w:rsid w:val="005B3128"/>
    <w:rsid w:val="005D6588"/>
    <w:rsid w:val="00601C8E"/>
    <w:rsid w:val="00637312"/>
    <w:rsid w:val="0064790F"/>
    <w:rsid w:val="00655F6B"/>
    <w:rsid w:val="007047C2"/>
    <w:rsid w:val="007260B4"/>
    <w:rsid w:val="007309EE"/>
    <w:rsid w:val="0073184C"/>
    <w:rsid w:val="00760697"/>
    <w:rsid w:val="00763E99"/>
    <w:rsid w:val="007B1F1E"/>
    <w:rsid w:val="007D1DCF"/>
    <w:rsid w:val="008150F0"/>
    <w:rsid w:val="00837951"/>
    <w:rsid w:val="00842290"/>
    <w:rsid w:val="00886A11"/>
    <w:rsid w:val="008C2C79"/>
    <w:rsid w:val="008D5B62"/>
    <w:rsid w:val="008E6B80"/>
    <w:rsid w:val="009000E9"/>
    <w:rsid w:val="00950D52"/>
    <w:rsid w:val="00952E62"/>
    <w:rsid w:val="00985ACC"/>
    <w:rsid w:val="0099284C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E4706"/>
    <w:rsid w:val="00BF5D80"/>
    <w:rsid w:val="00C25190"/>
    <w:rsid w:val="00C33014"/>
    <w:rsid w:val="00C34C67"/>
    <w:rsid w:val="00C46974"/>
    <w:rsid w:val="00C606F3"/>
    <w:rsid w:val="00C76826"/>
    <w:rsid w:val="00C92652"/>
    <w:rsid w:val="00CB2A6D"/>
    <w:rsid w:val="00CB5863"/>
    <w:rsid w:val="00CB7373"/>
    <w:rsid w:val="00CC1E29"/>
    <w:rsid w:val="00CD66BB"/>
    <w:rsid w:val="00CE76FE"/>
    <w:rsid w:val="00D54560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EE502F"/>
    <w:rsid w:val="00F005A5"/>
    <w:rsid w:val="00F257B2"/>
    <w:rsid w:val="00F27A00"/>
    <w:rsid w:val="00F336ED"/>
    <w:rsid w:val="00F752CE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572DE2"/>
  </w:style>
  <w:style w:type="paragraph" w:styleId="NormalWeb">
    <w:name w:val="Normal (Web)"/>
    <w:basedOn w:val="Normal"/>
    <w:uiPriority w:val="99"/>
    <w:semiHidden/>
    <w:unhideWhenUsed/>
    <w:rsid w:val="00572DE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mark">
    <w:name w:val="mark"/>
    <w:basedOn w:val="DefaultParagraphFont"/>
    <w:rsid w:val="00572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62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38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490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21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262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2015-02-04T08:06:00Z</dcterms:created>
  <dcterms:modified xsi:type="dcterms:W3CDTF">2015-02-04T09:29:00Z</dcterms:modified>
</cp:coreProperties>
</file>