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CF693B" w:rsidRPr="00CF693B" w:rsidTr="00CF69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693B" w:rsidRPr="00CF693B" w:rsidRDefault="00CF693B" w:rsidP="00CF693B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sz w:val="24"/>
                <w:szCs w:val="24"/>
              </w:rPr>
              <w:t>Министерски съвет</w:t>
            </w:r>
          </w:p>
        </w:tc>
      </w:tr>
      <w:tr w:rsidR="00CF693B" w:rsidRPr="00CF693B" w:rsidTr="00CF69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CF693B" w:rsidRPr="00CF69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693B" w:rsidRPr="00CF693B" w:rsidRDefault="00CF693B" w:rsidP="00CF693B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CF693B">
                    <w:rPr>
                      <w:rFonts w:eastAsia="Times New Roman"/>
                      <w:sz w:val="24"/>
                      <w:szCs w:val="24"/>
                    </w:rPr>
                    <w:t>брой: 30, от дата 24.4.2015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3B" w:rsidRPr="00CF693B" w:rsidRDefault="00CF693B" w:rsidP="00CF693B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CF693B">
                    <w:rPr>
                      <w:rFonts w:eastAsia="Times New Roman"/>
                      <w:sz w:val="24"/>
                      <w:szCs w:val="24"/>
                    </w:rPr>
                    <w:t>стр.26</w:t>
                  </w:r>
                </w:p>
              </w:tc>
            </w:tr>
          </w:tbl>
          <w:p w:rsidR="00CF693B" w:rsidRPr="00CF693B" w:rsidRDefault="00CF693B" w:rsidP="00CF693B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F693B" w:rsidRPr="00CF693B" w:rsidTr="00CF69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693B" w:rsidRPr="00CF693B" w:rsidRDefault="00CF693B" w:rsidP="00CF693B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F693B" w:rsidRPr="00CF693B" w:rsidTr="00CF69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693B" w:rsidRPr="00CF693B" w:rsidRDefault="00CF693B" w:rsidP="00CF693B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F693B" w:rsidRPr="00CF693B" w:rsidTr="00CF69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693B" w:rsidRPr="00CF693B" w:rsidRDefault="00CF693B" w:rsidP="00CF693B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sz w:val="24"/>
                <w:szCs w:val="24"/>
              </w:rPr>
              <w:t xml:space="preserve">Постановление № 97 от 20 април 2015 г. за изменение и допълнение на </w:t>
            </w:r>
            <w:proofErr w:type="spellStart"/>
            <w:r w:rsidRPr="00CF693B">
              <w:rPr>
                <w:rFonts w:eastAsia="Times New Roman"/>
                <w:sz w:val="24"/>
                <w:szCs w:val="24"/>
              </w:rPr>
              <w:t>Устройствения</w:t>
            </w:r>
            <w:proofErr w:type="spellEnd"/>
            <w:r w:rsidRPr="00CF693B">
              <w:rPr>
                <w:rFonts w:eastAsia="Times New Roman"/>
                <w:sz w:val="24"/>
                <w:szCs w:val="24"/>
              </w:rPr>
              <w:t xml:space="preserve"> правилник на Министерството на образованието и науката, приет с Постановление № 11 на Министерския съвет от 2010 г.</w:t>
            </w:r>
          </w:p>
        </w:tc>
      </w:tr>
      <w:tr w:rsidR="00CF693B" w:rsidRPr="00CF693B" w:rsidTr="00CF69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693B" w:rsidRPr="00CF693B" w:rsidRDefault="00CF693B" w:rsidP="00CF693B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F693B" w:rsidRPr="00CF693B" w:rsidTr="00CF69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693B" w:rsidRPr="00CF693B" w:rsidRDefault="00CF693B" w:rsidP="00CF693B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sz w:val="24"/>
                <w:szCs w:val="24"/>
              </w:rPr>
              <w:t> </w:t>
            </w:r>
          </w:p>
          <w:p w:rsidR="00CF693B" w:rsidRPr="00CF693B" w:rsidRDefault="00CF693B" w:rsidP="00CF693B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97 ОТ 20 АПРИЛ 2015 Г.</w:t>
            </w:r>
          </w:p>
          <w:p w:rsidR="00CF693B" w:rsidRPr="00CF693B" w:rsidRDefault="00CF693B" w:rsidP="00CF693B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за изменение и допълнение на </w:t>
            </w:r>
            <w:proofErr w:type="spellStart"/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Устройствения</w:t>
            </w:r>
            <w:proofErr w:type="spellEnd"/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правилник на Министерството на образованието и науката, приет с Постановление № 11 на Министерския съвет от 2010 г. </w:t>
            </w:r>
            <w:r w:rsidRPr="00CF693B">
              <w:rPr>
                <w:rFonts w:eastAsia="Times New Roman"/>
                <w:color w:val="000000"/>
                <w:sz w:val="24"/>
                <w:szCs w:val="24"/>
              </w:rPr>
              <w:t>(обн., ДВ, бр. 12 от 2010 г.; изм. и доп., бр. 56, 74 и 102 от 2010 г., бр. 33, 48 и 77 от 2011 г., бр. 22 от 2012 г., бр. 62 и 74 от 2013 г. и бр. 81, 86 и 94 от 2014 г.)</w:t>
            </w:r>
          </w:p>
          <w:p w:rsidR="00CF693B" w:rsidRPr="00CF693B" w:rsidRDefault="00CF693B" w:rsidP="00CF693B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CF693B" w:rsidRPr="00CF693B" w:rsidRDefault="00CF693B" w:rsidP="00CF693B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1. </w:t>
            </w:r>
            <w:r w:rsidRPr="00CF693B">
              <w:rPr>
                <w:rFonts w:eastAsia="Times New Roman"/>
                <w:color w:val="000000"/>
                <w:sz w:val="24"/>
                <w:szCs w:val="24"/>
              </w:rPr>
              <w:t>В чл. 5 се правят следните изменения и допълнения: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1. Създава се нова т. 20: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„20. организира дейността на управляващия орган на Оперативна програма „Наука и образование за интелигентен растеж 2014 – 2020 г.“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2. Досегашната т. 20 става т. 21.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CF693B">
              <w:rPr>
                <w:rFonts w:eastAsia="Times New Roman"/>
                <w:color w:val="000000"/>
                <w:sz w:val="24"/>
                <w:szCs w:val="24"/>
              </w:rPr>
              <w:t>Член 53 се изменя така: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„Чл. 53. (1) Главна дирекция „Структурни фондове и международни образователни програми“: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1. отговаря и координира дейностите по изпълнение на ангажиментите на министерството, предвидени в националното и в европейското законодателство, за развитие и изпълнение на политика за сближаване на Европейския съюз, както и на други програми и инструменти, подкрепящи образованието и науката;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2. изпълнява функциите на управляващ орган на Оперативна програма „Наука и образование за интелигентен растеж“ и всички произтичащи от това задължения и отговорности съгласно регламентите на Европейския съюз, включително: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а) организира, координира и съгласува в рамките на координационния механизъм за управление на средствата от Европейския съюз Оперативна програма „Наука и образование за интелигентен растеж“;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б) ръководи дейността на териториалните звена в районите от ниво 2 съгласно чл. 4, ал. 3 от Закона за регионалното развитие;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в) организира разработването и актуализирането на системи от индикатори за мониторинг на Оперативна програма „Наука и образование за интелигентен растеж“;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г) осигурява разработването и публикуването на покани по схеми за предоставяне на безвъзмездна финансова помощ по Оперативна програма „Наука и образование за интелигентен растеж“, както и организира оценяването на постъпилите проектни предложения;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д) подготвя и сключва договори за предоставяне на безвъзмездна финансова помощ по Оперативна програма „Наука и образование за интелигентен растеж“;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е) извършва оценка на риска и осъществява оперативно, финансово и процедурно наблюдение на операциите, финансирани от Оперативна програма „Наука и образование за интелигентен растеж“;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ж) осъществява предварителен, текущ и </w:t>
            </w:r>
            <w:proofErr w:type="spellStart"/>
            <w:r w:rsidRPr="00CF693B">
              <w:rPr>
                <w:rFonts w:eastAsia="Times New Roman"/>
                <w:color w:val="000000"/>
                <w:sz w:val="24"/>
                <w:szCs w:val="24"/>
              </w:rPr>
              <w:t>последващ</w:t>
            </w:r>
            <w:proofErr w:type="spellEnd"/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 контрол върху изпълнението на сключените договори с бенефициенти по Оперативна програма „Наука и образование за интелигентен растеж“;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з) организира и осигурява технически и административно заседанията на Комитета за наблюдение на Оперативна програма „Наука и образование за интелигентен растеж“, като изпълнява функциите на секретариат и отговаря за изпълнението на взетите от Комитета решения;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и) отговаря за изграждането и поддръжката на система за събиране на достоверни финансови и статистически данни относно прилагането на индикаторите за мониторинг и оценка и въвежда редовно информация в Информационната система за управление и наблюдение на средствата от Структурните инструменти на Европейския съюз в Република България, поддържана от дирекция „Системи за управление на средствата от Европейския съюз“ към Министерския съвет;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к) осигурява провеждането на предварителна, междинна и </w:t>
            </w:r>
            <w:proofErr w:type="spellStart"/>
            <w:r w:rsidRPr="00CF693B">
              <w:rPr>
                <w:rFonts w:eastAsia="Times New Roman"/>
                <w:color w:val="000000"/>
                <w:sz w:val="24"/>
                <w:szCs w:val="24"/>
              </w:rPr>
              <w:t>последваща</w:t>
            </w:r>
            <w:proofErr w:type="spellEnd"/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 оценка на управляваната програма;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л) отговаря за въвеждането и използването от страна на бенефициентите и други участващи звена, ангажирани в управлението и изпълнението на програмата, на отделна счетоводна аналитичност за всички предвидени дейности, финансирани в рамките на Оперативна програма „Наука и образование за интелигентен растеж“;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м) извършва плащания и трансфер на средства до бенефициентите по Оперативна програма „Наука и образование за интелигентен растеж“;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н) следи за законосъобразността на финансовите операции чрез въвеждането на системи и мерки за надеждно финансово управление и контрол;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о) извършва наблюдения и прилага </w:t>
            </w:r>
            <w:proofErr w:type="spellStart"/>
            <w:r w:rsidRPr="00CF693B">
              <w:rPr>
                <w:rFonts w:eastAsia="Times New Roman"/>
                <w:color w:val="000000"/>
                <w:sz w:val="24"/>
                <w:szCs w:val="24"/>
              </w:rPr>
              <w:t>корективни</w:t>
            </w:r>
            <w:proofErr w:type="spellEnd"/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 мерки съгласно изискванията на Европейската комисия при констатиране на нередности;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п) осигурява публичност и обществена осведоменост за дейности, свързани с изпълнението на Оперативна програма „Наука и образование за интелигентен растеж“;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р) изготвя годишни доклади и заключителен доклад за изпълнението на Оперативна програма „Наука и образование за интелигентен растеж“ и ги представя на Европейската комисия след одобряването им от Комитета за наблюдение и от Съвета за управление на средствата от Европейския съюз към Министерския съвет;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с) осъществява мониторинг на системите за управление и контрол на Оперативна програма „Наука и образование за интелигентен растеж“ и гарантира надеждна </w:t>
            </w:r>
            <w:proofErr w:type="spellStart"/>
            <w:r w:rsidRPr="00CF693B">
              <w:rPr>
                <w:rFonts w:eastAsia="Times New Roman"/>
                <w:color w:val="000000"/>
                <w:sz w:val="24"/>
                <w:szCs w:val="24"/>
              </w:rPr>
              <w:t>одитна</w:t>
            </w:r>
            <w:proofErr w:type="spellEnd"/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 пътека;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т) потвърждава, че дейностите и разходите са действително извършени от бенефициентите по операциите и са в съответствие с правилата на Общността и на страната;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у) гарантира наличието на система за вписване и съхраняване в компютризиран вид на счетоводните документи за всяка операция по Оперативна програма „Наука и образование за интелигентен растеж“ и набора от данни, необходими за изпълнението, финансовото управление, наблюдение, проверка, одит и оценка;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3. изпълнява функциите на междинно звено по Приоритетни оси 3 и 4 на Оперативна програма „Развитие на човешките ресурси“ 2007 – 2013 г. по отношение на управление, договаряне, наблюдение и контрол на средства от Европейския социален фонд и произтичащите от това задължения;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 изпълнява функциите на програмен оператор по Финансовия механизъм на Европейското икономическо пространство и произтичащите от това задължения;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pacing w:val="2"/>
                <w:sz w:val="24"/>
                <w:szCs w:val="24"/>
              </w:rPr>
              <w:t>5. осъществява функции на администратор на държавна помощ, предоставяна в изпълнение на Оперативна програма „Наука и образование за интелигентен растеж“, и операциите по други програми в компетентността на главната дирекция в съответствие с изискванията на Закона за държавните помощи;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6. подготвя доклади за изпълнението на Приоритетни оси 3 и 4 по Оперативна програма „Развитие на човешките ресурси“ 2007</w:t>
            </w:r>
            <w:r w:rsidRPr="00CF693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– </w:t>
            </w:r>
            <w:r w:rsidRPr="00CF693B">
              <w:rPr>
                <w:rFonts w:eastAsia="Times New Roman"/>
                <w:color w:val="000000"/>
                <w:sz w:val="24"/>
                <w:szCs w:val="24"/>
              </w:rPr>
              <w:t>2013 г. и ги предоставя на управляващия орган на програмата;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7. изготвя годишни и редовни прогнози за разходи (плащания) на ресурси на Оперативна програма „Наука и образование за интелигентен растеж“, Приоритетни оси 3 и 4 по Оперативна програма „Развитие на човешките ресурси“ 2007 – 2013 г. и на Програма „Деца и младежи в риск“;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pacing w:val="2"/>
                <w:sz w:val="24"/>
                <w:szCs w:val="24"/>
              </w:rPr>
              <w:t>8. съхранява документацията, свързана с изпълнението на проекти по Приоритетни оси 3 и 4 по Оперативна програма „Развитие на човешките ресурси“ 2007 – 2013 г. и по Програма „Деца и младежи в риск“, най-малко за период, установен в съответните регламенти на Европейския съюз или на страните донори;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9. изпълнява и други дейности, произтичащи от задълженията по изпълнение, управление и контрол на програмни инструменти, подкрепящи науката и образованието или възложени по решение на Министерския съвет или от министъра със заповед.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(2) Главна дирекция „Структурни фондове и международни образователни програми“ има териториални звена в районите на планиране от ниво 2 съгласно чл. 4, ал. 3 от Закона за регионалното развитие.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(3) Главна дирекция „Структурни фондове и международни образователни програми“ се ръководи от главен директор. В изпълнение на своите правомощия главният директор се подпомага от трима заместник главни директори.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(4) Осъществяването на функциите по ал. 1, т. 2 – 4 се подпомага от служители, заемащи по трудово правоотношение длъжността „сътрудник по управление на европейски проекти и програми“, назначени за срок до приключване на съответната програма или проект, финансирани с европейски средства, когато това е предвидено в длъжностното разписание.“</w:t>
            </w:r>
          </w:p>
          <w:p w:rsidR="00CF693B" w:rsidRPr="00CF693B" w:rsidRDefault="00CF693B" w:rsidP="00CF693B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Заключителна разпоредба</w:t>
            </w:r>
          </w:p>
          <w:p w:rsidR="00CF693B" w:rsidRPr="00CF693B" w:rsidRDefault="00CF693B" w:rsidP="00CF693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3.</w:t>
            </w:r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 Постановлението влиза в сила от деня на обнародването му в „Държавен вестник“.</w:t>
            </w:r>
          </w:p>
          <w:p w:rsidR="00CF693B" w:rsidRPr="00CF693B" w:rsidRDefault="00CF693B" w:rsidP="00CF693B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Бойко Борисов</w:t>
            </w:r>
          </w:p>
          <w:p w:rsidR="00CF693B" w:rsidRPr="00CF693B" w:rsidRDefault="00CF693B" w:rsidP="00CF693B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CF693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 Даков</w:t>
            </w:r>
          </w:p>
          <w:p w:rsidR="00CF693B" w:rsidRPr="00CF693B" w:rsidRDefault="00CF693B" w:rsidP="00CF693B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CF693B">
              <w:rPr>
                <w:rFonts w:eastAsia="Times New Roman"/>
                <w:color w:val="000000"/>
                <w:sz w:val="24"/>
                <w:szCs w:val="24"/>
              </w:rPr>
              <w:t>2786</w:t>
            </w:r>
          </w:p>
        </w:tc>
      </w:tr>
    </w:tbl>
    <w:p w:rsidR="009836C8" w:rsidRPr="00CF693B" w:rsidRDefault="009836C8">
      <w:pPr>
        <w:rPr>
          <w:sz w:val="24"/>
          <w:szCs w:val="24"/>
        </w:rPr>
      </w:pPr>
    </w:p>
    <w:sectPr w:rsidR="009836C8" w:rsidRPr="00CF693B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3D" w:rsidRDefault="004C663D" w:rsidP="00CF693B">
      <w:r>
        <w:separator/>
      </w:r>
    </w:p>
  </w:endnote>
  <w:endnote w:type="continuationSeparator" w:id="0">
    <w:p w:rsidR="004C663D" w:rsidRDefault="004C663D" w:rsidP="00CF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3D" w:rsidRDefault="004C663D" w:rsidP="00CF693B">
      <w:r>
        <w:separator/>
      </w:r>
    </w:p>
  </w:footnote>
  <w:footnote w:type="continuationSeparator" w:id="0">
    <w:p w:rsidR="004C663D" w:rsidRDefault="004C663D" w:rsidP="00CF6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93B"/>
    <w:rsid w:val="00021ABB"/>
    <w:rsid w:val="000A7FA1"/>
    <w:rsid w:val="000D7B64"/>
    <w:rsid w:val="001226FB"/>
    <w:rsid w:val="001B4464"/>
    <w:rsid w:val="002B7226"/>
    <w:rsid w:val="0047657A"/>
    <w:rsid w:val="0049404A"/>
    <w:rsid w:val="004A1F2C"/>
    <w:rsid w:val="004C663D"/>
    <w:rsid w:val="004D5E46"/>
    <w:rsid w:val="005719B7"/>
    <w:rsid w:val="00627FCE"/>
    <w:rsid w:val="007D65BC"/>
    <w:rsid w:val="008C2573"/>
    <w:rsid w:val="009836C8"/>
    <w:rsid w:val="00B7618F"/>
    <w:rsid w:val="00BA2604"/>
    <w:rsid w:val="00C615AD"/>
    <w:rsid w:val="00CF693B"/>
    <w:rsid w:val="00D446A3"/>
    <w:rsid w:val="00F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CF693B"/>
  </w:style>
  <w:style w:type="character" w:customStyle="1" w:styleId="tdhead1">
    <w:name w:val="tdhead1"/>
    <w:basedOn w:val="DefaultParagraphFont"/>
    <w:rsid w:val="00CF693B"/>
  </w:style>
  <w:style w:type="paragraph" w:styleId="NormalWeb">
    <w:name w:val="Normal (Web)"/>
    <w:basedOn w:val="Normal"/>
    <w:uiPriority w:val="99"/>
    <w:semiHidden/>
    <w:unhideWhenUsed/>
    <w:rsid w:val="00CF693B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F69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93B"/>
  </w:style>
  <w:style w:type="paragraph" w:styleId="Footer">
    <w:name w:val="footer"/>
    <w:basedOn w:val="Normal"/>
    <w:link w:val="FooterChar"/>
    <w:uiPriority w:val="99"/>
    <w:semiHidden/>
    <w:unhideWhenUsed/>
    <w:rsid w:val="00CF69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73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84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08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203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457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09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6858</Characters>
  <Application>Microsoft Office Word</Application>
  <DocSecurity>0</DocSecurity>
  <Lines>57</Lines>
  <Paragraphs>16</Paragraphs>
  <ScaleCrop>false</ScaleCrop>
  <Company>Grizli777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2015-05-04T09:51:00Z</dcterms:created>
  <dcterms:modified xsi:type="dcterms:W3CDTF">2015-05-04T09:52:00Z</dcterms:modified>
</cp:coreProperties>
</file>