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B6791F">
              <w:rPr>
                <w:rFonts w:eastAsia="Times New Roman" w:cs="Times New Roman"/>
                <w:sz w:val="24"/>
                <w:szCs w:val="24"/>
                <w:lang w:eastAsia="bg-BG"/>
              </w:rPr>
              <w:t> Министерски съвет</w:t>
            </w: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8"/>
              <w:gridCol w:w="674"/>
            </w:tblGrid>
            <w:tr w:rsidR="00B6791F" w:rsidRPr="00B67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791F" w:rsidRPr="00B6791F" w:rsidRDefault="00B6791F" w:rsidP="00B6791F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B6791F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63, от дата 18.8.2015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91F" w:rsidRPr="00B6791F" w:rsidRDefault="00B6791F" w:rsidP="00B6791F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B6791F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стр.10</w:t>
                  </w:r>
                </w:p>
              </w:tc>
            </w:tr>
          </w:tbl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B6791F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212 от 13 август 2015 г. за изменение и допълнение на Наредбата за работното време, почивките и отпуските, приета с Постановление № 72 на Министерския съвет от 1986 г.</w:t>
            </w: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bookmarkStart w:id="0" w:name="_GoBack"/>
            <w:r w:rsidRPr="00B6791F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B6791F" w:rsidRPr="00B6791F" w:rsidRDefault="00B6791F" w:rsidP="00B6791F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ПОСТАНОВЛЕНИЕ № 212 ОТ 13 АВГУСТ 2015 Г.</w:t>
            </w:r>
          </w:p>
          <w:p w:rsidR="00B6791F" w:rsidRPr="00B6791F" w:rsidRDefault="00B6791F" w:rsidP="00B6791F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за изменение и допълнение на Наредбата за работното време, почивките и отпуските, приета с Постановление № 72 на Министерския съвет от 1986 г.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(</w:t>
            </w:r>
            <w:proofErr w:type="spellStart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обн</w:t>
            </w:r>
            <w:proofErr w:type="spellEnd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., ДВ, бр. 6 от 1987 г.; изм. и доп., бр. 31, 55 и 59 от 1991 г., бр. 59 и 67 от 1993 г., бр. 38 от 1994 г., бр. 54 от 2001 г.; Решение № 9353 на Върховния административен съд от 2002 г. – бр. 103 от 2002 г.; изм. и доп., бр. 72 от 2004 г., бр. 24 и 103 от 2005 г., бр. 96 от 2006 г., бр. 1 от 2007 г., бр. 10 и 67 от 2009 г., бр. 21 от 2011 г., бр. 19 от 2012 г. и бр. 110 от 2013 г.)</w:t>
            </w:r>
          </w:p>
          <w:p w:rsidR="00B6791F" w:rsidRPr="00B6791F" w:rsidRDefault="00B6791F" w:rsidP="00B6791F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B6791F" w:rsidRPr="00B6791F" w:rsidRDefault="00B6791F" w:rsidP="00B6791F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В чл. 4а се създава ал. 2: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„(2) В Правилника за вътрешния трудов ред се уреждат условията и редът за въвеждане и начинът на отчитане на работното време при променливо работно време, когато извън времето на задължителното присъствие работникът или служителят отработва неотработеното дневно работно време в следващия или в други дни от същата работна седмица.“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В чл. 6, ал. 1 думите „ал. 3“ се заменят с „ал. 4“.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В чл. 8 се правят следните изменения: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1. Алинея 2 се отменя.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2. В ал. 3, изречение първо запетаята след думите „началната и крайната дата на периода на удължаване“ се заменя със съюза „и“ и думите „и номерът на уведомителното писмо до инспекцията по труда“ се заличават.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4.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Член 37а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„Чл. 37а. В началото на всяка календарна година, но в срок не по-късно от 31 януари, работодателят е длъжен да уведоми писмено всеки работник или служител за размера на платения годишен отпуск, който има право да ползва през календарната година, включително отложен или неизползван от предходни календарни години.“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5.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Член 37б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„Чл. 37б. (1) В случаите по чл. 173, ал. 4 КТ работодателят има право да предостави платения годишен отпуск на работника или на служителя и без негово съгласие, когато: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1. е обявил престой повече от 5 работни дни;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2. едновременното ползване на отпуска от всички работници и служители е предвидено в нормативен акт или в правилника за вътрешния трудов ред;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3. писмено е поканил работника или служителя да поиска да ползва отпуска си до края на календарната година, за която се полага, но работникът или служителят не е направил това до края на същата календарна година.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pacing w:val="3"/>
                <w:sz w:val="22"/>
                <w:lang w:eastAsia="bg-BG"/>
              </w:rPr>
              <w:t xml:space="preserve">(2) В случаите на ал. 1, т. 3 работодателят има право да предостави платения годишен отпуск на работника или служителя до изтичане на </w:t>
            </w:r>
            <w:proofErr w:type="spellStart"/>
            <w:r w:rsidRPr="00B6791F">
              <w:rPr>
                <w:rFonts w:eastAsia="Times New Roman" w:cs="Times New Roman"/>
                <w:color w:val="000000"/>
                <w:spacing w:val="3"/>
                <w:sz w:val="22"/>
                <w:lang w:eastAsia="bg-BG"/>
              </w:rPr>
              <w:t>давностния</w:t>
            </w:r>
            <w:proofErr w:type="spellEnd"/>
            <w:r w:rsidRPr="00B6791F">
              <w:rPr>
                <w:rFonts w:eastAsia="Times New Roman" w:cs="Times New Roman"/>
                <w:color w:val="000000"/>
                <w:spacing w:val="3"/>
                <w:sz w:val="22"/>
                <w:lang w:eastAsia="bg-BG"/>
              </w:rPr>
              <w:t xml:space="preserve"> срок по чл. 176а, ал. 1 КТ.“ 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6.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Член 37в се отменя.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7.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В чл. 37г се правят следните изменения и допълнения: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1. В ал. 1 след думите „ал. 1“ се поставя запетая и се добавя „т. 1“.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2. Алинея 2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„(2) В случаите по чл. 173, ал. 4, чл. 176, ал. 1, т. 1 КТ и когато по искане на работника или служителя ползването на платения годишен отпуск е отложено със съгласието на работодателя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>по чл. 176, ал. 1, т. 2 КТ, работодателят предоставя или отлага ползването на отпуска в писмена форма и своевременно уведомява работника или служителя.“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8.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Член 37д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„Чл. 37д. В случаите по чл. 176, ал. 3 КТ работникът или служителят има право сам да определи времето за ползване на платения годишен отпуск до изтичане на </w:t>
            </w:r>
            <w:proofErr w:type="spellStart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давностния</w:t>
            </w:r>
            <w:proofErr w:type="spellEnd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срок по чл. 176а КТ.“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9. 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Член 38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„Чл. 38. В случаите по чл. 176, ал. 1, т. 2 КТ работникът или служителят подава писмено искане до работодателя за отлагане на ползването на платения годишен отпуск за следващата календарна година. Когато работникът или служителят ползва друг вид </w:t>
            </w:r>
            <w:proofErr w:type="spellStart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законоустановен</w:t>
            </w:r>
            <w:proofErr w:type="spellEnd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отпуск, писмено искане до работодателя за отлагане на ползването на платения годишен отпуск за следващата календарна година не е необходимо.“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10.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Член 38а се изменя така: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„Чл. 38а. Когато ползването на платения годишен отпуск е отложено по реда на чл. 176, ал. 1, т. 2 КТ поради ползване на друг вид </w:t>
            </w:r>
            <w:proofErr w:type="spellStart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законоустановен</w:t>
            </w:r>
            <w:proofErr w:type="spellEnd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отпуск от работника или служителя, </w:t>
            </w:r>
            <w:proofErr w:type="spellStart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давностният</w:t>
            </w:r>
            <w:proofErr w:type="spellEnd"/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срок за ползване на отложения отпуск започва да тече от края на календарната година, през която работникът или служителят се е завърнал на работа.“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11.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Член 47 се отменя.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12.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В чл. 48, ал. 3 думите „чл. 163, 164 и 165 КТ“ се заменят с „чл. 163 и 164 КТ“.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13.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Член 49б се отменя.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14.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В чл. 49г, ал. 2 думите „по чл. 165, ал. 1 КТ преди изменението му и“ се заличават.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15.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В § 6 от заключителните разпоредби запетаята след думите „чл. 163, ал. 11“ се заличава и думите „чл. 167а, ал. 9 и чл. 173, ал. 1 от Кодекса на труда“ се заменят с „и чл. 167а, ал. 9 от Кодекса на труда“.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16.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В декларацията – приложение № 2 към чл. 46, ал. 3, в наименованието думите „и чл. 165, ал. 1“ се заличават.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17.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В справката – приложение № 3 към чл. 46, ал. 3, в основния текст думите „и 165 КТ“ се заличават.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18.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Приложение № 5 към чл. 49б, ал. 1, т. 1 се отменя.</w:t>
            </w:r>
          </w:p>
          <w:p w:rsidR="00B6791F" w:rsidRPr="00B6791F" w:rsidRDefault="00B6791F" w:rsidP="00B6791F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Заключителна разпоредба</w:t>
            </w:r>
          </w:p>
          <w:p w:rsidR="00B6791F" w:rsidRPr="00B6791F" w:rsidRDefault="00B6791F" w:rsidP="00B6791F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19.</w:t>
            </w: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B6791F" w:rsidRPr="00B6791F" w:rsidRDefault="00B6791F" w:rsidP="00B6791F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B6791F" w:rsidRPr="00B6791F" w:rsidRDefault="00B6791F" w:rsidP="00B6791F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За главен секретар на Министерския съвет: </w:t>
            </w:r>
            <w:r w:rsidRPr="00B6791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Мария Томова</w:t>
            </w:r>
          </w:p>
          <w:p w:rsidR="00B6791F" w:rsidRPr="00B6791F" w:rsidRDefault="00B6791F" w:rsidP="00B6791F">
            <w:pPr>
              <w:spacing w:line="268" w:lineRule="auto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B6791F">
              <w:rPr>
                <w:rFonts w:eastAsia="Times New Roman" w:cs="Times New Roman"/>
                <w:color w:val="000000"/>
                <w:sz w:val="22"/>
                <w:lang w:eastAsia="bg-BG"/>
              </w:rPr>
              <w:t>5421</w:t>
            </w:r>
          </w:p>
        </w:tc>
      </w:tr>
      <w:bookmarkEnd w:id="0"/>
      <w:tr w:rsidR="00B6791F" w:rsidRPr="00B6791F" w:rsidTr="00B6791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791F" w:rsidRPr="00B6791F" w:rsidRDefault="00B6791F" w:rsidP="00B6791F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F"/>
    <w:rsid w:val="005B0F49"/>
    <w:rsid w:val="00766194"/>
    <w:rsid w:val="00A64FB6"/>
    <w:rsid w:val="00B6791F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B6791F"/>
  </w:style>
  <w:style w:type="character" w:customStyle="1" w:styleId="tdhead1">
    <w:name w:val="tdhead1"/>
    <w:basedOn w:val="a0"/>
    <w:rsid w:val="00B6791F"/>
  </w:style>
  <w:style w:type="paragraph" w:styleId="a3">
    <w:name w:val="Normal (Web)"/>
    <w:basedOn w:val="a"/>
    <w:uiPriority w:val="99"/>
    <w:semiHidden/>
    <w:unhideWhenUsed/>
    <w:rsid w:val="00B679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B6791F"/>
  </w:style>
  <w:style w:type="character" w:customStyle="1" w:styleId="tdhead1">
    <w:name w:val="tdhead1"/>
    <w:basedOn w:val="a0"/>
    <w:rsid w:val="00B6791F"/>
  </w:style>
  <w:style w:type="paragraph" w:styleId="a3">
    <w:name w:val="Normal (Web)"/>
    <w:basedOn w:val="a"/>
    <w:uiPriority w:val="99"/>
    <w:semiHidden/>
    <w:unhideWhenUsed/>
    <w:rsid w:val="00B679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75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7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59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122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65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9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0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2015-08-26T20:39:00Z</dcterms:created>
  <dcterms:modified xsi:type="dcterms:W3CDTF">2015-08-26T20:40:00Z</dcterms:modified>
</cp:coreProperties>
</file>