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FF1E92" w:rsidRPr="00FF1E92" w:rsidTr="00FF1E92">
        <w:trPr>
          <w:tblCellSpacing w:w="7" w:type="dxa"/>
          <w:jc w:val="center"/>
        </w:trPr>
        <w:tc>
          <w:tcPr>
            <w:tcW w:w="0" w:type="auto"/>
            <w:vAlign w:val="center"/>
            <w:hideMark/>
          </w:tcPr>
          <w:p w:rsidR="00FF1E92" w:rsidRPr="00FF1E92" w:rsidRDefault="00FF1E92" w:rsidP="00FF1E92">
            <w:pPr>
              <w:jc w:val="left"/>
              <w:rPr>
                <w:rFonts w:eastAsia="Times New Roman"/>
                <w:sz w:val="24"/>
                <w:szCs w:val="24"/>
              </w:rPr>
            </w:pPr>
            <w:r w:rsidRPr="00FF1E92">
              <w:rPr>
                <w:rFonts w:eastAsia="Times New Roman"/>
                <w:sz w:val="24"/>
                <w:szCs w:val="24"/>
              </w:rPr>
              <w:t> Министерски съвет</w:t>
            </w:r>
          </w:p>
        </w:tc>
      </w:tr>
      <w:tr w:rsidR="00FF1E92" w:rsidRPr="00FF1E92" w:rsidTr="00FF1E92">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416"/>
              <w:gridCol w:w="656"/>
            </w:tblGrid>
            <w:tr w:rsidR="00FF1E92" w:rsidRPr="00FF1E92">
              <w:trPr>
                <w:tblCellSpacing w:w="0" w:type="dxa"/>
              </w:trPr>
              <w:tc>
                <w:tcPr>
                  <w:tcW w:w="0" w:type="auto"/>
                  <w:vAlign w:val="center"/>
                  <w:hideMark/>
                </w:tcPr>
                <w:p w:rsidR="00FF1E92" w:rsidRPr="00FF1E92" w:rsidRDefault="00FF1E92" w:rsidP="00FF1E92">
                  <w:pPr>
                    <w:jc w:val="left"/>
                    <w:rPr>
                      <w:rFonts w:eastAsia="Times New Roman"/>
                      <w:sz w:val="24"/>
                      <w:szCs w:val="24"/>
                    </w:rPr>
                  </w:pPr>
                  <w:r w:rsidRPr="00FF1E92">
                    <w:rPr>
                      <w:rFonts w:eastAsia="Times New Roman"/>
                      <w:sz w:val="24"/>
                      <w:szCs w:val="24"/>
                    </w:rPr>
                    <w:t>брой: 108, от дата 30.12.2014 г.   Официален раздел / МИНИСТЕРСКИ СЪВЕТ</w:t>
                  </w:r>
                </w:p>
              </w:tc>
              <w:tc>
                <w:tcPr>
                  <w:tcW w:w="0" w:type="auto"/>
                  <w:vAlign w:val="center"/>
                  <w:hideMark/>
                </w:tcPr>
                <w:p w:rsidR="00FF1E92" w:rsidRPr="00FF1E92" w:rsidRDefault="00FF1E92" w:rsidP="00FF1E92">
                  <w:pPr>
                    <w:jc w:val="left"/>
                    <w:rPr>
                      <w:rFonts w:eastAsia="Times New Roman"/>
                      <w:sz w:val="24"/>
                      <w:szCs w:val="24"/>
                    </w:rPr>
                  </w:pPr>
                  <w:r w:rsidRPr="00FF1E92">
                    <w:rPr>
                      <w:rFonts w:eastAsia="Times New Roman"/>
                      <w:sz w:val="24"/>
                      <w:szCs w:val="24"/>
                    </w:rPr>
                    <w:t>стр.57</w:t>
                  </w:r>
                </w:p>
              </w:tc>
            </w:tr>
          </w:tbl>
          <w:p w:rsidR="00FF1E92" w:rsidRPr="00FF1E92" w:rsidRDefault="00FF1E92" w:rsidP="00FF1E92">
            <w:pPr>
              <w:jc w:val="left"/>
              <w:rPr>
                <w:rFonts w:eastAsia="Times New Roman"/>
                <w:sz w:val="24"/>
                <w:szCs w:val="24"/>
              </w:rPr>
            </w:pPr>
          </w:p>
        </w:tc>
      </w:tr>
      <w:tr w:rsidR="00FF1E92" w:rsidRPr="00FF1E92" w:rsidTr="00FF1E92">
        <w:trPr>
          <w:tblCellSpacing w:w="7" w:type="dxa"/>
          <w:jc w:val="center"/>
        </w:trPr>
        <w:tc>
          <w:tcPr>
            <w:tcW w:w="0" w:type="auto"/>
            <w:vAlign w:val="center"/>
            <w:hideMark/>
          </w:tcPr>
          <w:p w:rsidR="00FF1E92" w:rsidRPr="00FF1E92" w:rsidRDefault="00FF1E92" w:rsidP="00FF1E92">
            <w:pPr>
              <w:jc w:val="left"/>
              <w:rPr>
                <w:rFonts w:eastAsia="Times New Roman"/>
                <w:sz w:val="24"/>
                <w:szCs w:val="24"/>
              </w:rPr>
            </w:pPr>
          </w:p>
        </w:tc>
      </w:tr>
      <w:tr w:rsidR="00FF1E92" w:rsidRPr="00FF1E92" w:rsidTr="00FF1E92">
        <w:trPr>
          <w:tblCellSpacing w:w="7" w:type="dxa"/>
          <w:jc w:val="center"/>
        </w:trPr>
        <w:tc>
          <w:tcPr>
            <w:tcW w:w="0" w:type="auto"/>
            <w:vAlign w:val="center"/>
            <w:hideMark/>
          </w:tcPr>
          <w:p w:rsidR="00FF1E92" w:rsidRPr="00FF1E92" w:rsidRDefault="00FF1E92" w:rsidP="00FF1E92">
            <w:pPr>
              <w:jc w:val="left"/>
              <w:rPr>
                <w:rFonts w:eastAsia="Times New Roman"/>
                <w:sz w:val="24"/>
                <w:szCs w:val="24"/>
              </w:rPr>
            </w:pPr>
          </w:p>
        </w:tc>
      </w:tr>
      <w:tr w:rsidR="00FF1E92" w:rsidRPr="00FF1E92" w:rsidTr="00FF1E92">
        <w:trPr>
          <w:tblCellSpacing w:w="7" w:type="dxa"/>
          <w:jc w:val="center"/>
        </w:trPr>
        <w:tc>
          <w:tcPr>
            <w:tcW w:w="0" w:type="auto"/>
            <w:vAlign w:val="center"/>
            <w:hideMark/>
          </w:tcPr>
          <w:p w:rsidR="00FF1E92" w:rsidRPr="00FF1E92" w:rsidRDefault="00FF1E92" w:rsidP="00FF1E92">
            <w:pPr>
              <w:jc w:val="left"/>
              <w:rPr>
                <w:rFonts w:eastAsia="Times New Roman"/>
                <w:sz w:val="24"/>
                <w:szCs w:val="24"/>
              </w:rPr>
            </w:pPr>
            <w:r w:rsidRPr="00FF1E92">
              <w:rPr>
                <w:rFonts w:eastAsia="Times New Roman"/>
                <w:sz w:val="24"/>
                <w:szCs w:val="24"/>
              </w:rPr>
              <w:t>Постановление № 449 от 23 декември 2014 г. за одобряване на допълнителни трансфери за бюджетите на общини за 2014 г.</w:t>
            </w:r>
          </w:p>
        </w:tc>
      </w:tr>
      <w:tr w:rsidR="00FF1E92" w:rsidRPr="00FF1E92" w:rsidTr="00FF1E92">
        <w:trPr>
          <w:tblCellSpacing w:w="7" w:type="dxa"/>
          <w:jc w:val="center"/>
        </w:trPr>
        <w:tc>
          <w:tcPr>
            <w:tcW w:w="0" w:type="auto"/>
            <w:vAlign w:val="center"/>
            <w:hideMark/>
          </w:tcPr>
          <w:p w:rsidR="00FF1E92" w:rsidRPr="00FF1E92" w:rsidRDefault="00FF1E92" w:rsidP="00FF1E92">
            <w:pPr>
              <w:jc w:val="left"/>
              <w:rPr>
                <w:rFonts w:eastAsia="Times New Roman"/>
                <w:sz w:val="24"/>
                <w:szCs w:val="24"/>
              </w:rPr>
            </w:pPr>
          </w:p>
        </w:tc>
      </w:tr>
      <w:tr w:rsidR="00FF1E92" w:rsidRPr="00FF1E92" w:rsidTr="00FF1E92">
        <w:trPr>
          <w:tblCellSpacing w:w="7" w:type="dxa"/>
          <w:jc w:val="center"/>
        </w:trPr>
        <w:tc>
          <w:tcPr>
            <w:tcW w:w="0" w:type="auto"/>
            <w:vAlign w:val="center"/>
            <w:hideMark/>
          </w:tcPr>
          <w:p w:rsidR="00FF1E92" w:rsidRPr="00FF1E92" w:rsidRDefault="00FF1E92" w:rsidP="00FF1E92">
            <w:pPr>
              <w:spacing w:before="100" w:beforeAutospacing="1" w:after="100" w:afterAutospacing="1"/>
              <w:jc w:val="left"/>
              <w:rPr>
                <w:rFonts w:eastAsia="Times New Roman"/>
                <w:sz w:val="24"/>
                <w:szCs w:val="24"/>
              </w:rPr>
            </w:pPr>
            <w:r w:rsidRPr="00FF1E92">
              <w:rPr>
                <w:rFonts w:eastAsia="Times New Roman"/>
                <w:sz w:val="24"/>
                <w:szCs w:val="24"/>
              </w:rPr>
              <w:t> </w:t>
            </w:r>
          </w:p>
          <w:p w:rsidR="00FF1E92" w:rsidRPr="00FF1E92" w:rsidRDefault="00FF1E92" w:rsidP="00FF1E92">
            <w:pPr>
              <w:keepNext/>
              <w:spacing w:line="268" w:lineRule="auto"/>
              <w:jc w:val="center"/>
              <w:textAlignment w:val="center"/>
              <w:rPr>
                <w:rFonts w:eastAsia="Times New Roman"/>
                <w:sz w:val="24"/>
                <w:szCs w:val="24"/>
              </w:rPr>
            </w:pPr>
            <w:r w:rsidRPr="00FF1E92">
              <w:rPr>
                <w:rFonts w:eastAsia="Times New Roman"/>
                <w:b/>
                <w:bCs/>
                <w:color w:val="000000"/>
                <w:sz w:val="24"/>
                <w:szCs w:val="24"/>
              </w:rPr>
              <w:t>ПОСТАНОВЛЕНИЕ № 449 ОТ 23 ДЕКЕМВРИ 2014 Г.</w:t>
            </w:r>
          </w:p>
          <w:p w:rsidR="00FF1E92" w:rsidRPr="00FF1E92" w:rsidRDefault="00FF1E92" w:rsidP="00FF1E92">
            <w:pPr>
              <w:keepNext/>
              <w:spacing w:line="268" w:lineRule="auto"/>
              <w:jc w:val="center"/>
              <w:textAlignment w:val="center"/>
              <w:rPr>
                <w:rFonts w:eastAsia="Times New Roman"/>
                <w:sz w:val="24"/>
                <w:szCs w:val="24"/>
              </w:rPr>
            </w:pPr>
            <w:r w:rsidRPr="00FF1E92">
              <w:rPr>
                <w:rFonts w:eastAsia="Times New Roman"/>
                <w:b/>
                <w:bCs/>
                <w:color w:val="000000"/>
                <w:sz w:val="24"/>
                <w:szCs w:val="24"/>
              </w:rPr>
              <w:t>за одобряване на допълнителни трансфери за бюджетите на общини за 2014 г.</w:t>
            </w:r>
          </w:p>
          <w:p w:rsidR="00FF1E92" w:rsidRPr="00FF1E92" w:rsidRDefault="00FF1E92" w:rsidP="00FF1E92">
            <w:pPr>
              <w:keepNext/>
              <w:spacing w:line="268" w:lineRule="auto"/>
              <w:jc w:val="center"/>
              <w:textAlignment w:val="center"/>
              <w:rPr>
                <w:rFonts w:eastAsia="Times New Roman"/>
                <w:sz w:val="24"/>
                <w:szCs w:val="24"/>
              </w:rPr>
            </w:pPr>
            <w:r w:rsidRPr="00FF1E92">
              <w:rPr>
                <w:rFonts w:eastAsia="Times New Roman"/>
                <w:color w:val="000000"/>
                <w:sz w:val="24"/>
                <w:szCs w:val="24"/>
              </w:rPr>
              <w:t>МИНИСТЕРСКИЯТ СЪВЕТ</w:t>
            </w:r>
          </w:p>
          <w:p w:rsidR="00FF1E92" w:rsidRPr="00FF1E92" w:rsidRDefault="00FF1E92" w:rsidP="00FF1E92">
            <w:pPr>
              <w:spacing w:line="268" w:lineRule="auto"/>
              <w:jc w:val="center"/>
              <w:textAlignment w:val="center"/>
              <w:rPr>
                <w:rFonts w:eastAsia="Times New Roman"/>
                <w:sz w:val="24"/>
                <w:szCs w:val="24"/>
              </w:rPr>
            </w:pPr>
            <w:r w:rsidRPr="00FF1E92">
              <w:rPr>
                <w:rFonts w:eastAsia="Times New Roman"/>
                <w:caps/>
                <w:color w:val="000000"/>
                <w:spacing w:val="38"/>
                <w:sz w:val="24"/>
                <w:szCs w:val="24"/>
              </w:rPr>
              <w:t>ПОСТАНОВИ:</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b/>
                <w:bCs/>
                <w:color w:val="000000"/>
                <w:sz w:val="24"/>
                <w:szCs w:val="24"/>
              </w:rPr>
              <w:t>Чл. 1.</w:t>
            </w:r>
            <w:r w:rsidRPr="00FF1E92">
              <w:rPr>
                <w:rFonts w:eastAsia="Times New Roman"/>
                <w:color w:val="000000"/>
                <w:sz w:val="24"/>
                <w:szCs w:val="24"/>
              </w:rPr>
              <w:t xml:space="preserve"> (1) Одобрява допълнителни трансфери за 2014 г. в общ размер 15 432 093 лв., разпределени, както следва:</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1. по бюджета на община Пловдив за довършителни работи на обект „Спортен комплекс“, изграждащ се в УПИ ІV-617 по плана на ж.к. Тракия, гр. Пловдив“ – 12 273 390 лв.;</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2. по бюджета на община Доспат – 300 000 лв., разпределени, както следва:</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а) за разплащане на задължения за строителство на водопровод – 200 000 лв.;</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б) за поддържане на общинската пътна мрежа – 100 000 лв.;</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3. по бюджета на община Стражица за ремонтни дейности на социални институции и домове, общински клубове, детски градини и обединени детски заведения – 162 703 лв.;</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4. по бюджета на община Дулово за реализиране на капиталови разходи във функция „Здравеопазване“ за 2014 г. – 120 000 лв.;</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 xml:space="preserve">5. по бюджета на община Габрово – 1 000 </w:t>
            </w:r>
            <w:proofErr w:type="spellStart"/>
            <w:r w:rsidRPr="00FF1E92">
              <w:rPr>
                <w:rFonts w:eastAsia="Times New Roman"/>
                <w:color w:val="000000"/>
                <w:sz w:val="24"/>
                <w:szCs w:val="24"/>
              </w:rPr>
              <w:t>000</w:t>
            </w:r>
            <w:proofErr w:type="spellEnd"/>
            <w:r w:rsidRPr="00FF1E92">
              <w:rPr>
                <w:rFonts w:eastAsia="Times New Roman"/>
                <w:color w:val="000000"/>
                <w:sz w:val="24"/>
                <w:szCs w:val="24"/>
              </w:rPr>
              <w:t xml:space="preserve"> лв., разпределени, както следва: </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а) за преустройство на сграда в дневен център за деца и младежи с увреждания – 610 000 лв.;</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б) за благоустройство на дворното пространство на целодневна детска градина – 390 000 лв.;</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 xml:space="preserve">6. по бюджета на община „Марица“ – 1 576 000 лв. за отчуждаване на имоти за реализация на пътна инфраструктура, включително подобренията за „Южен околовръстен път, с. Радиново“. </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color w:val="000000"/>
                <w:sz w:val="24"/>
                <w:szCs w:val="24"/>
              </w:rPr>
              <w:t>(2) Средствата по ал. 1 да се осигурят за сметка на преструктуриране на разходите по централния бюджет за 2014 г.</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b/>
                <w:bCs/>
                <w:color w:val="000000"/>
                <w:sz w:val="24"/>
                <w:szCs w:val="24"/>
              </w:rPr>
              <w:t xml:space="preserve">Чл. 2. </w:t>
            </w:r>
            <w:r w:rsidRPr="00FF1E92">
              <w:rPr>
                <w:rFonts w:eastAsia="Times New Roman"/>
                <w:color w:val="000000"/>
                <w:sz w:val="24"/>
                <w:szCs w:val="24"/>
              </w:rPr>
              <w:t>Министърът на финансите да извърши налагащите се промени по централния бюджет, включително на бюджетните взаимоотношения на общините с централния бюджет за 2014 г.</w:t>
            </w:r>
          </w:p>
          <w:p w:rsidR="00FF1E92" w:rsidRPr="00FF1E92" w:rsidRDefault="00FF1E92" w:rsidP="00FF1E92">
            <w:pPr>
              <w:spacing w:line="268" w:lineRule="auto"/>
              <w:jc w:val="center"/>
              <w:textAlignment w:val="center"/>
              <w:rPr>
                <w:rFonts w:eastAsia="Times New Roman"/>
                <w:sz w:val="24"/>
                <w:szCs w:val="24"/>
              </w:rPr>
            </w:pPr>
            <w:r w:rsidRPr="00FF1E92">
              <w:rPr>
                <w:rFonts w:eastAsia="Times New Roman"/>
                <w:b/>
                <w:bCs/>
                <w:color w:val="000000"/>
                <w:sz w:val="24"/>
                <w:szCs w:val="24"/>
              </w:rPr>
              <w:t>Заключителни разпоредби</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b/>
                <w:bCs/>
                <w:color w:val="000000"/>
                <w:sz w:val="24"/>
                <w:szCs w:val="24"/>
              </w:rPr>
              <w:t>§ 1.</w:t>
            </w:r>
            <w:r w:rsidRPr="00FF1E92">
              <w:rPr>
                <w:rFonts w:eastAsia="Times New Roman"/>
                <w:color w:val="000000"/>
                <w:sz w:val="24"/>
                <w:szCs w:val="24"/>
              </w:rPr>
              <w:t xml:space="preserve"> Постановлението се приема на основание чл. 89, ал. 1 от Закона за държавния бюджет на Република България за 2014 г. и чл. 109, ал. 3 от Закона за публичните финанси.</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b/>
                <w:bCs/>
                <w:color w:val="000000"/>
                <w:sz w:val="24"/>
                <w:szCs w:val="24"/>
              </w:rPr>
              <w:t xml:space="preserve">§ 2. </w:t>
            </w:r>
            <w:r w:rsidRPr="00FF1E92">
              <w:rPr>
                <w:rFonts w:eastAsia="Times New Roman"/>
                <w:color w:val="000000"/>
                <w:sz w:val="24"/>
                <w:szCs w:val="24"/>
              </w:rPr>
              <w:t xml:space="preserve">В Постановление № 19 на Министерския съвет от 2014 г. за одобряване на средства от резерва по чл. 1, ал. 2, раздел ІІ, т. 4.1.2 от Закона за държавния бюджет на Република България за 2014 г. (обн., ДВ, бр. 12 от 2014 г.; попр., бр. 14 от 2014 г.; изм. и доп., бр. 45 от 2014 г., бр. 79, 88, 103 и 106 от 2014 г.), в приложение № 1 към чл. 1, ал. 2, т. 1, в пореден № 4.11, в колона 1 думите „Ремонт на ул. Ком, ул. Ивайло, ул. Кокиче, ул. Варна, ул. Теменуга, ул. Хан Крум, ул. </w:t>
            </w:r>
            <w:proofErr w:type="spellStart"/>
            <w:r w:rsidRPr="00FF1E92">
              <w:rPr>
                <w:rFonts w:eastAsia="Times New Roman"/>
                <w:color w:val="000000"/>
                <w:sz w:val="24"/>
                <w:szCs w:val="24"/>
              </w:rPr>
              <w:t>Бенковска</w:t>
            </w:r>
            <w:proofErr w:type="spellEnd"/>
            <w:r w:rsidRPr="00FF1E92">
              <w:rPr>
                <w:rFonts w:eastAsia="Times New Roman"/>
                <w:color w:val="000000"/>
                <w:sz w:val="24"/>
                <w:szCs w:val="24"/>
              </w:rPr>
              <w:t xml:space="preserve">, ул. Волга, ул. Рила, ул. </w:t>
            </w:r>
            <w:r w:rsidRPr="00FF1E92">
              <w:rPr>
                <w:rFonts w:eastAsia="Times New Roman"/>
                <w:color w:val="000000"/>
                <w:sz w:val="24"/>
                <w:szCs w:val="24"/>
              </w:rPr>
              <w:lastRenderedPageBreak/>
              <w:t>Отец Паисий, ул. Искър, ул. Васил Левски, ул. Осогово в гр. Стражица“ се заменят с „Ремонт на улици в гр. Стражица и в с. Камен“.</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b/>
                <w:bCs/>
                <w:color w:val="000000"/>
                <w:sz w:val="24"/>
                <w:szCs w:val="24"/>
              </w:rPr>
              <w:t>§ 3.</w:t>
            </w:r>
            <w:r w:rsidRPr="00FF1E92">
              <w:rPr>
                <w:rFonts w:eastAsia="Times New Roman"/>
                <w:color w:val="000000"/>
                <w:sz w:val="24"/>
                <w:szCs w:val="24"/>
              </w:rPr>
              <w:t xml:space="preserve"> Изпълнението на постановлението се възлага на министъра на финансите и на кметовете на съответните общини.</w:t>
            </w:r>
          </w:p>
          <w:p w:rsidR="00FF1E92" w:rsidRPr="00FF1E92" w:rsidRDefault="00FF1E92" w:rsidP="00FF1E92">
            <w:pPr>
              <w:spacing w:line="268" w:lineRule="auto"/>
              <w:ind w:firstLine="283"/>
              <w:textAlignment w:val="center"/>
              <w:rPr>
                <w:rFonts w:eastAsia="Times New Roman"/>
                <w:sz w:val="24"/>
                <w:szCs w:val="24"/>
              </w:rPr>
            </w:pPr>
            <w:r w:rsidRPr="00FF1E92">
              <w:rPr>
                <w:rFonts w:eastAsia="Times New Roman"/>
                <w:b/>
                <w:bCs/>
                <w:color w:val="000000"/>
                <w:sz w:val="24"/>
                <w:szCs w:val="24"/>
              </w:rPr>
              <w:t xml:space="preserve">§ 4. </w:t>
            </w:r>
            <w:r w:rsidRPr="00FF1E92">
              <w:rPr>
                <w:rFonts w:eastAsia="Times New Roman"/>
                <w:color w:val="000000"/>
                <w:sz w:val="24"/>
                <w:szCs w:val="24"/>
              </w:rPr>
              <w:t>Постановлението влиза в сила от 23 декември 2014 г.</w:t>
            </w:r>
          </w:p>
          <w:p w:rsidR="00FF1E92" w:rsidRPr="00FF1E92" w:rsidRDefault="00FF1E92" w:rsidP="00FF1E92">
            <w:pPr>
              <w:spacing w:line="220" w:lineRule="atLeast"/>
              <w:jc w:val="right"/>
              <w:textAlignment w:val="center"/>
              <w:rPr>
                <w:rFonts w:eastAsia="Times New Roman"/>
                <w:sz w:val="24"/>
                <w:szCs w:val="24"/>
              </w:rPr>
            </w:pPr>
            <w:r w:rsidRPr="00FF1E92">
              <w:rPr>
                <w:rFonts w:eastAsia="Times New Roman"/>
                <w:color w:val="000000"/>
                <w:sz w:val="24"/>
                <w:szCs w:val="24"/>
              </w:rPr>
              <w:t xml:space="preserve">Министър-председател: </w:t>
            </w:r>
            <w:r w:rsidRPr="00FF1E92">
              <w:rPr>
                <w:rFonts w:eastAsia="Times New Roman"/>
                <w:b/>
                <w:bCs/>
                <w:color w:val="000000"/>
                <w:sz w:val="24"/>
                <w:szCs w:val="24"/>
              </w:rPr>
              <w:t>Бойко Борисов</w:t>
            </w:r>
          </w:p>
          <w:p w:rsidR="00FF1E92" w:rsidRPr="00FF1E92" w:rsidRDefault="00FF1E92" w:rsidP="00FF1E92">
            <w:pPr>
              <w:spacing w:line="220" w:lineRule="atLeast"/>
              <w:jc w:val="right"/>
              <w:textAlignment w:val="center"/>
              <w:rPr>
                <w:rFonts w:eastAsia="Times New Roman"/>
                <w:sz w:val="24"/>
                <w:szCs w:val="24"/>
              </w:rPr>
            </w:pPr>
            <w:r w:rsidRPr="00FF1E92">
              <w:rPr>
                <w:rFonts w:eastAsia="Times New Roman"/>
                <w:color w:val="000000"/>
                <w:sz w:val="24"/>
                <w:szCs w:val="24"/>
              </w:rPr>
              <w:t xml:space="preserve">За главен секретар на Министерския съвет: </w:t>
            </w:r>
            <w:r w:rsidRPr="00FF1E92">
              <w:rPr>
                <w:rFonts w:eastAsia="Times New Roman"/>
                <w:b/>
                <w:bCs/>
                <w:color w:val="000000"/>
                <w:sz w:val="24"/>
                <w:szCs w:val="24"/>
              </w:rPr>
              <w:t>Веселин Даков</w:t>
            </w:r>
          </w:p>
          <w:p w:rsidR="00FF1E92" w:rsidRPr="00FF1E92" w:rsidRDefault="00FF1E92" w:rsidP="00FF1E92">
            <w:pPr>
              <w:spacing w:line="268" w:lineRule="auto"/>
              <w:textAlignment w:val="center"/>
              <w:rPr>
                <w:rFonts w:eastAsia="Times New Roman"/>
                <w:sz w:val="24"/>
                <w:szCs w:val="24"/>
              </w:rPr>
            </w:pPr>
            <w:r w:rsidRPr="00FF1E92">
              <w:rPr>
                <w:rFonts w:eastAsia="Times New Roman"/>
                <w:color w:val="000000"/>
                <w:sz w:val="24"/>
                <w:szCs w:val="24"/>
              </w:rPr>
              <w:t>9123</w:t>
            </w:r>
          </w:p>
        </w:tc>
      </w:tr>
      <w:tr w:rsidR="00FF1E92" w:rsidRPr="00FF1E92" w:rsidTr="00FF1E92">
        <w:trPr>
          <w:tblCellSpacing w:w="7" w:type="dxa"/>
          <w:jc w:val="center"/>
        </w:trPr>
        <w:tc>
          <w:tcPr>
            <w:tcW w:w="0" w:type="auto"/>
            <w:vAlign w:val="center"/>
            <w:hideMark/>
          </w:tcPr>
          <w:p w:rsidR="00FF1E92" w:rsidRPr="00FF1E92" w:rsidRDefault="00FF1E92" w:rsidP="00FF1E92">
            <w:pPr>
              <w:jc w:val="left"/>
              <w:rPr>
                <w:rFonts w:eastAsia="Times New Roman"/>
                <w:sz w:val="24"/>
                <w:szCs w:val="24"/>
              </w:rPr>
            </w:pPr>
          </w:p>
        </w:tc>
      </w:tr>
    </w:tbl>
    <w:p w:rsidR="003C5A29" w:rsidRDefault="003C5A29"/>
    <w:sectPr w:rsidR="003C5A29"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F1E92"/>
    <w:rsid w:val="00011CF2"/>
    <w:rsid w:val="00027E70"/>
    <w:rsid w:val="000513DE"/>
    <w:rsid w:val="000744E5"/>
    <w:rsid w:val="0009564A"/>
    <w:rsid w:val="000B7D66"/>
    <w:rsid w:val="000E6F45"/>
    <w:rsid w:val="000E6FB4"/>
    <w:rsid w:val="00114814"/>
    <w:rsid w:val="0014414D"/>
    <w:rsid w:val="00152075"/>
    <w:rsid w:val="00153B5C"/>
    <w:rsid w:val="00174455"/>
    <w:rsid w:val="001A6E12"/>
    <w:rsid w:val="001E3D39"/>
    <w:rsid w:val="001E6950"/>
    <w:rsid w:val="001F38F3"/>
    <w:rsid w:val="0021363A"/>
    <w:rsid w:val="00240695"/>
    <w:rsid w:val="00250913"/>
    <w:rsid w:val="00250E18"/>
    <w:rsid w:val="00260F38"/>
    <w:rsid w:val="0026587D"/>
    <w:rsid w:val="00292206"/>
    <w:rsid w:val="0029361F"/>
    <w:rsid w:val="002A20C5"/>
    <w:rsid w:val="002E299D"/>
    <w:rsid w:val="002E6665"/>
    <w:rsid w:val="002F438F"/>
    <w:rsid w:val="00357AD2"/>
    <w:rsid w:val="00367606"/>
    <w:rsid w:val="00387444"/>
    <w:rsid w:val="00394C5C"/>
    <w:rsid w:val="00396683"/>
    <w:rsid w:val="003A08DA"/>
    <w:rsid w:val="003C5A29"/>
    <w:rsid w:val="003E2D1A"/>
    <w:rsid w:val="0042048C"/>
    <w:rsid w:val="00427F4F"/>
    <w:rsid w:val="004419B3"/>
    <w:rsid w:val="0047700A"/>
    <w:rsid w:val="00484AA1"/>
    <w:rsid w:val="00490AE9"/>
    <w:rsid w:val="00492204"/>
    <w:rsid w:val="00492D77"/>
    <w:rsid w:val="00494970"/>
    <w:rsid w:val="004B1638"/>
    <w:rsid w:val="004B33E7"/>
    <w:rsid w:val="0051501A"/>
    <w:rsid w:val="0058100F"/>
    <w:rsid w:val="00594AE2"/>
    <w:rsid w:val="005B3128"/>
    <w:rsid w:val="005D6588"/>
    <w:rsid w:val="00601C8E"/>
    <w:rsid w:val="00637312"/>
    <w:rsid w:val="0064790F"/>
    <w:rsid w:val="00655F6B"/>
    <w:rsid w:val="007047C2"/>
    <w:rsid w:val="007260B4"/>
    <w:rsid w:val="007309EE"/>
    <w:rsid w:val="0073184C"/>
    <w:rsid w:val="00763E99"/>
    <w:rsid w:val="007B1F1E"/>
    <w:rsid w:val="007D1DCF"/>
    <w:rsid w:val="008150F0"/>
    <w:rsid w:val="00842290"/>
    <w:rsid w:val="00886A11"/>
    <w:rsid w:val="008C2C79"/>
    <w:rsid w:val="008D5B62"/>
    <w:rsid w:val="008E6B80"/>
    <w:rsid w:val="009000E9"/>
    <w:rsid w:val="00950D52"/>
    <w:rsid w:val="00952E62"/>
    <w:rsid w:val="009546B2"/>
    <w:rsid w:val="00985ACC"/>
    <w:rsid w:val="0099284C"/>
    <w:rsid w:val="009B48D0"/>
    <w:rsid w:val="009B5518"/>
    <w:rsid w:val="009F37AC"/>
    <w:rsid w:val="00A17737"/>
    <w:rsid w:val="00A502DA"/>
    <w:rsid w:val="00A93FCE"/>
    <w:rsid w:val="00A951D9"/>
    <w:rsid w:val="00AB1A36"/>
    <w:rsid w:val="00AC2582"/>
    <w:rsid w:val="00B025C7"/>
    <w:rsid w:val="00B07DD3"/>
    <w:rsid w:val="00B36C8A"/>
    <w:rsid w:val="00B405D9"/>
    <w:rsid w:val="00B64C2B"/>
    <w:rsid w:val="00B65031"/>
    <w:rsid w:val="00BE4706"/>
    <w:rsid w:val="00BF5D80"/>
    <w:rsid w:val="00C25190"/>
    <w:rsid w:val="00C33014"/>
    <w:rsid w:val="00C34C67"/>
    <w:rsid w:val="00C46974"/>
    <w:rsid w:val="00C606F3"/>
    <w:rsid w:val="00C92652"/>
    <w:rsid w:val="00CB2A6D"/>
    <w:rsid w:val="00CB5863"/>
    <w:rsid w:val="00CB7373"/>
    <w:rsid w:val="00CD66BB"/>
    <w:rsid w:val="00CE76FE"/>
    <w:rsid w:val="00DB2073"/>
    <w:rsid w:val="00DD26F2"/>
    <w:rsid w:val="00DD6D70"/>
    <w:rsid w:val="00DF22E4"/>
    <w:rsid w:val="00DF48C4"/>
    <w:rsid w:val="00E028A0"/>
    <w:rsid w:val="00E03CE9"/>
    <w:rsid w:val="00E25EA6"/>
    <w:rsid w:val="00E669C9"/>
    <w:rsid w:val="00E67C40"/>
    <w:rsid w:val="00E9413E"/>
    <w:rsid w:val="00ED17E8"/>
    <w:rsid w:val="00EE502F"/>
    <w:rsid w:val="00F005A5"/>
    <w:rsid w:val="00F257B2"/>
    <w:rsid w:val="00F27A00"/>
    <w:rsid w:val="00F336ED"/>
    <w:rsid w:val="00F752CE"/>
    <w:rsid w:val="00F9019D"/>
    <w:rsid w:val="00F931E6"/>
    <w:rsid w:val="00FE2DE4"/>
    <w:rsid w:val="00FF1E92"/>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FF1E92"/>
  </w:style>
  <w:style w:type="character" w:customStyle="1" w:styleId="tdhead1">
    <w:name w:val="tdhead1"/>
    <w:basedOn w:val="DefaultParagraphFont"/>
    <w:rsid w:val="00FF1E92"/>
  </w:style>
  <w:style w:type="paragraph" w:styleId="NormalWeb">
    <w:name w:val="Normal (Web)"/>
    <w:basedOn w:val="Normal"/>
    <w:uiPriority w:val="99"/>
    <w:semiHidden/>
    <w:unhideWhenUsed/>
    <w:rsid w:val="00FF1E92"/>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72682170">
      <w:bodyDiv w:val="1"/>
      <w:marLeft w:val="0"/>
      <w:marRight w:val="0"/>
      <w:marTop w:val="0"/>
      <w:marBottom w:val="0"/>
      <w:divBdr>
        <w:top w:val="none" w:sz="0" w:space="0" w:color="auto"/>
        <w:left w:val="none" w:sz="0" w:space="0" w:color="auto"/>
        <w:bottom w:val="none" w:sz="0" w:space="0" w:color="auto"/>
        <w:right w:val="none" w:sz="0" w:space="0" w:color="auto"/>
      </w:divBdr>
      <w:divsChild>
        <w:div w:id="397750841">
          <w:marLeft w:val="0"/>
          <w:marRight w:val="0"/>
          <w:marTop w:val="0"/>
          <w:marBottom w:val="0"/>
          <w:divBdr>
            <w:top w:val="none" w:sz="0" w:space="0" w:color="auto"/>
            <w:left w:val="none" w:sz="0" w:space="0" w:color="auto"/>
            <w:bottom w:val="none" w:sz="0" w:space="0" w:color="auto"/>
            <w:right w:val="none" w:sz="0" w:space="0" w:color="auto"/>
          </w:divBdr>
        </w:div>
        <w:div w:id="2053073758">
          <w:marLeft w:val="0"/>
          <w:marRight w:val="0"/>
          <w:marTop w:val="0"/>
          <w:marBottom w:val="0"/>
          <w:divBdr>
            <w:top w:val="none" w:sz="0" w:space="0" w:color="auto"/>
            <w:left w:val="none" w:sz="0" w:space="0" w:color="auto"/>
            <w:bottom w:val="none" w:sz="0" w:space="0" w:color="auto"/>
            <w:right w:val="none" w:sz="0" w:space="0" w:color="auto"/>
          </w:divBdr>
          <w:divsChild>
            <w:div w:id="1298144380">
              <w:marLeft w:val="0"/>
              <w:marRight w:val="0"/>
              <w:marTop w:val="113"/>
              <w:marBottom w:val="0"/>
              <w:divBdr>
                <w:top w:val="none" w:sz="0" w:space="0" w:color="auto"/>
                <w:left w:val="none" w:sz="0" w:space="0" w:color="auto"/>
                <w:bottom w:val="none" w:sz="0" w:space="0" w:color="auto"/>
                <w:right w:val="none" w:sz="0" w:space="0" w:color="auto"/>
              </w:divBdr>
            </w:div>
            <w:div w:id="1403676870">
              <w:marLeft w:val="0"/>
              <w:marRight w:val="0"/>
              <w:marTop w:val="0"/>
              <w:marBottom w:val="113"/>
              <w:divBdr>
                <w:top w:val="none" w:sz="0" w:space="0" w:color="auto"/>
                <w:left w:val="none" w:sz="0" w:space="0" w:color="auto"/>
                <w:bottom w:val="none" w:sz="0" w:space="0" w:color="auto"/>
                <w:right w:val="none" w:sz="0" w:space="0" w:color="auto"/>
              </w:divBdr>
            </w:div>
            <w:div w:id="742797513">
              <w:marLeft w:val="0"/>
              <w:marRight w:val="0"/>
              <w:marTop w:val="0"/>
              <w:marBottom w:val="57"/>
              <w:divBdr>
                <w:top w:val="none" w:sz="0" w:space="0" w:color="auto"/>
                <w:left w:val="none" w:sz="0" w:space="0" w:color="auto"/>
                <w:bottom w:val="none" w:sz="0" w:space="0" w:color="auto"/>
                <w:right w:val="none" w:sz="0" w:space="0" w:color="auto"/>
              </w:divBdr>
            </w:div>
            <w:div w:id="448744864">
              <w:marLeft w:val="0"/>
              <w:marRight w:val="0"/>
              <w:marTop w:val="113"/>
              <w:marBottom w:val="57"/>
              <w:divBdr>
                <w:top w:val="none" w:sz="0" w:space="0" w:color="auto"/>
                <w:left w:val="none" w:sz="0" w:space="0" w:color="auto"/>
                <w:bottom w:val="none" w:sz="0" w:space="0" w:color="auto"/>
                <w:right w:val="none" w:sz="0" w:space="0" w:color="auto"/>
              </w:divBdr>
            </w:div>
            <w:div w:id="526988126">
              <w:marLeft w:val="0"/>
              <w:marRight w:val="0"/>
              <w:marTop w:val="57"/>
              <w:marBottom w:val="0"/>
              <w:divBdr>
                <w:top w:val="none" w:sz="0" w:space="0" w:color="auto"/>
                <w:left w:val="none" w:sz="0" w:space="0" w:color="auto"/>
                <w:bottom w:val="none" w:sz="0" w:space="0" w:color="auto"/>
                <w:right w:val="none" w:sz="0" w:space="0" w:color="auto"/>
              </w:divBdr>
            </w:div>
            <w:div w:id="1193153794">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2542</Characters>
  <Application>Microsoft Office Word</Application>
  <DocSecurity>0</DocSecurity>
  <Lines>21</Lines>
  <Paragraphs>5</Paragraphs>
  <ScaleCrop>false</ScaleCrop>
  <Company>Grizli777</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2014-12-30T11:40:00Z</dcterms:created>
  <dcterms:modified xsi:type="dcterms:W3CDTF">2014-12-30T11:41:00Z</dcterms:modified>
</cp:coreProperties>
</file>