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F5C" w:rsidRPr="00B74F5C" w:rsidRDefault="00B74F5C" w:rsidP="00B74F5C">
      <w:pPr>
        <w:spacing w:after="0" w:line="240" w:lineRule="auto"/>
        <w:rPr>
          <w:rFonts w:eastAsia="Times New Roman" w:cs="Times New Roman"/>
          <w:b/>
          <w:bCs/>
          <w:color w:val="003C5A"/>
          <w:sz w:val="24"/>
          <w:szCs w:val="24"/>
          <w:lang w:eastAsia="bg-BG"/>
        </w:rPr>
      </w:pPr>
      <w:r w:rsidRPr="00B74F5C">
        <w:rPr>
          <w:rFonts w:eastAsia="Times New Roman" w:cs="Times New Roman"/>
          <w:b/>
          <w:bCs/>
          <w:color w:val="003C5A"/>
          <w:sz w:val="24"/>
          <w:szCs w:val="24"/>
          <w:lang w:eastAsia="bg-BG"/>
        </w:rPr>
        <w:t>Министерство на здравеопазването</w:t>
      </w:r>
    </w:p>
    <w:tbl>
      <w:tblPr>
        <w:tblW w:w="5000" w:type="pct"/>
        <w:tblCellSpacing w:w="0" w:type="dxa"/>
        <w:tblCellMar>
          <w:left w:w="0" w:type="dxa"/>
          <w:right w:w="0" w:type="dxa"/>
        </w:tblCellMar>
        <w:tblLook w:val="04A0"/>
      </w:tblPr>
      <w:tblGrid>
        <w:gridCol w:w="8440"/>
        <w:gridCol w:w="632"/>
      </w:tblGrid>
      <w:tr w:rsidR="00B74F5C" w:rsidRPr="00B74F5C" w:rsidTr="00B74F5C">
        <w:trPr>
          <w:tblCellSpacing w:w="0" w:type="dxa"/>
        </w:trPr>
        <w:tc>
          <w:tcPr>
            <w:tcW w:w="0" w:type="auto"/>
            <w:vAlign w:val="center"/>
            <w:hideMark/>
          </w:tcPr>
          <w:p w:rsidR="00B74F5C" w:rsidRPr="00B74F5C" w:rsidRDefault="00B74F5C" w:rsidP="00B74F5C">
            <w:pPr>
              <w:spacing w:after="0" w:line="240" w:lineRule="auto"/>
              <w:rPr>
                <w:rFonts w:eastAsia="Times New Roman" w:cs="Times New Roman"/>
                <w:color w:val="000000"/>
                <w:sz w:val="24"/>
                <w:szCs w:val="24"/>
                <w:lang w:eastAsia="bg-BG"/>
              </w:rPr>
            </w:pPr>
            <w:r w:rsidRPr="00B74F5C">
              <w:rPr>
                <w:rFonts w:eastAsia="Times New Roman" w:cs="Times New Roman"/>
                <w:color w:val="8E8E8E"/>
                <w:sz w:val="24"/>
                <w:szCs w:val="24"/>
                <w:lang w:eastAsia="bg-BG"/>
              </w:rPr>
              <w:t>брой: 75, от дата 25.8.2020 г.   Официален раздел / МИНИСТЕРСТВА И ДРУГИ ВЕДОМСТВА</w:t>
            </w:r>
          </w:p>
        </w:tc>
        <w:tc>
          <w:tcPr>
            <w:tcW w:w="0" w:type="auto"/>
            <w:vAlign w:val="center"/>
            <w:hideMark/>
          </w:tcPr>
          <w:p w:rsidR="00B74F5C" w:rsidRPr="00B74F5C" w:rsidRDefault="00B74F5C" w:rsidP="00B74F5C">
            <w:pPr>
              <w:spacing w:after="0" w:line="240" w:lineRule="auto"/>
              <w:jc w:val="right"/>
              <w:rPr>
                <w:rFonts w:eastAsia="Times New Roman" w:cs="Times New Roman"/>
                <w:color w:val="000000"/>
                <w:sz w:val="24"/>
                <w:szCs w:val="24"/>
                <w:lang w:eastAsia="bg-BG"/>
              </w:rPr>
            </w:pPr>
            <w:r w:rsidRPr="00B74F5C">
              <w:rPr>
                <w:rFonts w:eastAsia="Times New Roman" w:cs="Times New Roman"/>
                <w:color w:val="8E8E8E"/>
                <w:sz w:val="24"/>
                <w:szCs w:val="24"/>
                <w:lang w:eastAsia="bg-BG"/>
              </w:rPr>
              <w:t>стр.52</w:t>
            </w:r>
          </w:p>
        </w:tc>
      </w:tr>
    </w:tbl>
    <w:p w:rsidR="00B74F5C" w:rsidRPr="00B74F5C" w:rsidRDefault="00B74F5C" w:rsidP="00B74F5C">
      <w:pPr>
        <w:spacing w:after="0" w:line="240" w:lineRule="auto"/>
        <w:rPr>
          <w:rFonts w:eastAsia="Times New Roman" w:cs="Times New Roman"/>
          <w:sz w:val="24"/>
          <w:szCs w:val="24"/>
          <w:lang w:eastAsia="bg-BG"/>
        </w:rPr>
      </w:pPr>
      <w:r w:rsidRPr="00B74F5C">
        <w:rPr>
          <w:rFonts w:eastAsia="Times New Roman" w:cs="Times New Roman"/>
          <w:sz w:val="24"/>
          <w:szCs w:val="24"/>
          <w:lang w:eastAsia="bg-BG"/>
        </w:rPr>
        <w:br/>
      </w:r>
      <w:r w:rsidRPr="00B74F5C">
        <w:rPr>
          <w:rFonts w:eastAsia="Times New Roman" w:cs="Times New Roman"/>
          <w:sz w:val="24"/>
          <w:szCs w:val="24"/>
          <w:lang w:eastAsia="bg-BG"/>
        </w:rPr>
        <w:br/>
      </w:r>
      <w:r w:rsidRPr="00B74F5C">
        <w:rPr>
          <w:rFonts w:eastAsia="Times New Roman" w:cs="Times New Roman"/>
          <w:b/>
          <w:bCs/>
          <w:color w:val="003C5A"/>
          <w:sz w:val="24"/>
          <w:szCs w:val="24"/>
          <w:lang w:eastAsia="bg-BG"/>
        </w:rPr>
        <w:t>Споразумение, с което Европейската комисия се упълномощава да предлага на участващите държави членки и да сключва от тяхно име предварителни споразумения за покупка на ваксини („Advance Purchase Agreement“) с техни производители с цел държавите членки да се снабдят с ваксини в борбата с пандемията от COVID-19</w:t>
      </w:r>
      <w:r w:rsidRPr="00B74F5C">
        <w:rPr>
          <w:rFonts w:eastAsia="Times New Roman" w:cs="Times New Roman"/>
          <w:sz w:val="24"/>
          <w:szCs w:val="24"/>
          <w:lang w:eastAsia="bg-BG"/>
        </w:rPr>
        <w:br/>
      </w:r>
    </w:p>
    <w:p w:rsidR="00B74F5C" w:rsidRPr="00B74F5C" w:rsidRDefault="00B74F5C" w:rsidP="00B74F5C">
      <w:pPr>
        <w:spacing w:before="100" w:beforeAutospacing="1" w:after="100" w:afterAutospacing="1" w:line="240" w:lineRule="auto"/>
        <w:rPr>
          <w:rFonts w:eastAsia="Times New Roman" w:cs="Times New Roman"/>
          <w:sz w:val="24"/>
          <w:szCs w:val="24"/>
          <w:lang w:eastAsia="bg-BG"/>
        </w:rPr>
      </w:pPr>
      <w:r w:rsidRPr="00B74F5C">
        <w:rPr>
          <w:rFonts w:eastAsia="Times New Roman" w:cs="Times New Roman"/>
          <w:sz w:val="24"/>
          <w:szCs w:val="24"/>
          <w:lang w:eastAsia="bg-BG"/>
        </w:rPr>
        <w:t> </w:t>
      </w:r>
    </w:p>
    <w:p w:rsidR="00B74F5C" w:rsidRPr="00B74F5C" w:rsidRDefault="00B74F5C" w:rsidP="00B74F5C">
      <w:pPr>
        <w:spacing w:after="0" w:line="185" w:lineRule="atLeast"/>
        <w:jc w:val="center"/>
        <w:textAlignment w:val="center"/>
        <w:rPr>
          <w:rFonts w:eastAsia="Times New Roman" w:cs="Times New Roman"/>
          <w:sz w:val="24"/>
          <w:szCs w:val="24"/>
          <w:lang w:eastAsia="bg-BG"/>
        </w:rPr>
      </w:pPr>
      <w:r w:rsidRPr="00B74F5C">
        <w:rPr>
          <w:rFonts w:eastAsia="Times New Roman" w:cs="Times New Roman"/>
          <w:b/>
          <w:bCs/>
          <w:color w:val="000000"/>
          <w:sz w:val="24"/>
          <w:szCs w:val="24"/>
          <w:lang w:eastAsia="bg-BG"/>
        </w:rPr>
        <w:t>МИНИСТЕРСТВО НА ЗДРАВЕОПАЗВАНЕТО</w:t>
      </w:r>
    </w:p>
    <w:p w:rsidR="00B74F5C" w:rsidRPr="00B74F5C" w:rsidRDefault="00B74F5C" w:rsidP="00B74F5C">
      <w:pPr>
        <w:spacing w:after="0" w:line="185" w:lineRule="atLeast"/>
        <w:jc w:val="center"/>
        <w:textAlignment w:val="center"/>
        <w:rPr>
          <w:rFonts w:eastAsia="Times New Roman" w:cs="Times New Roman"/>
          <w:sz w:val="24"/>
          <w:szCs w:val="24"/>
          <w:lang w:eastAsia="bg-BG"/>
        </w:rPr>
      </w:pPr>
      <w:r w:rsidRPr="00B74F5C">
        <w:rPr>
          <w:rFonts w:eastAsia="Times New Roman" w:cs="Times New Roman"/>
          <w:b/>
          <w:bCs/>
          <w:color w:val="000000"/>
          <w:sz w:val="24"/>
          <w:szCs w:val="24"/>
          <w:lang w:eastAsia="bg-BG"/>
        </w:rPr>
        <w:t>СПОРАЗУМЕНИЕ</w:t>
      </w:r>
    </w:p>
    <w:p w:rsidR="00B74F5C" w:rsidRPr="00B74F5C" w:rsidRDefault="00B74F5C" w:rsidP="00B74F5C">
      <w:pPr>
        <w:spacing w:after="0" w:line="185" w:lineRule="atLeast"/>
        <w:jc w:val="center"/>
        <w:textAlignment w:val="center"/>
        <w:rPr>
          <w:rFonts w:eastAsia="Times New Roman" w:cs="Times New Roman"/>
          <w:sz w:val="24"/>
          <w:szCs w:val="24"/>
          <w:lang w:eastAsia="bg-BG"/>
        </w:rPr>
      </w:pPr>
      <w:r w:rsidRPr="00B74F5C">
        <w:rPr>
          <w:rFonts w:eastAsia="Times New Roman" w:cs="Times New Roman"/>
          <w:b/>
          <w:bCs/>
          <w:color w:val="000000"/>
          <w:sz w:val="24"/>
          <w:szCs w:val="24"/>
          <w:lang w:eastAsia="bg-BG"/>
        </w:rPr>
        <w:t>с което Европейската комисия се упълномощава да предлага на участващите държави членки и да сключва от тяхно име предварителни споразумения за покупка на ваксини („Advance Purchase Agreement“) с техни производители с цел държавите членки да се снабдят с ваксини в борбата с пандемията от COVID-19</w:t>
      </w:r>
    </w:p>
    <w:p w:rsidR="00B74F5C" w:rsidRDefault="00B74F5C" w:rsidP="00B74F5C">
      <w:pPr>
        <w:spacing w:after="113" w:line="185" w:lineRule="atLeast"/>
        <w:jc w:val="center"/>
        <w:textAlignment w:val="center"/>
        <w:rPr>
          <w:rFonts w:eastAsia="Times New Roman" w:cs="Times New Roman"/>
          <w:color w:val="000000"/>
          <w:sz w:val="24"/>
          <w:szCs w:val="24"/>
          <w:lang w:val="en-US" w:eastAsia="bg-BG"/>
        </w:rPr>
      </w:pPr>
      <w:r w:rsidRPr="00B74F5C">
        <w:rPr>
          <w:rFonts w:eastAsia="Times New Roman" w:cs="Times New Roman"/>
          <w:color w:val="000000"/>
          <w:sz w:val="24"/>
          <w:szCs w:val="24"/>
          <w:lang w:eastAsia="bg-BG"/>
        </w:rPr>
        <w:t>(Ратифицирано със закон, приет от 44-то Народно събрание на 31 юли 2020 г. – ДВ, бр. 71 от 2020 г. В сила за Република България от 12 август 2020 г.)</w:t>
      </w:r>
    </w:p>
    <w:p w:rsidR="00B74F5C" w:rsidRPr="00B74F5C" w:rsidRDefault="00B74F5C" w:rsidP="00B74F5C">
      <w:pPr>
        <w:spacing w:after="113" w:line="185" w:lineRule="atLeast"/>
        <w:jc w:val="center"/>
        <w:textAlignment w:val="center"/>
        <w:rPr>
          <w:rFonts w:eastAsia="Times New Roman" w:cs="Times New Roman"/>
          <w:sz w:val="24"/>
          <w:szCs w:val="24"/>
          <w:lang w:val="en-US" w:eastAsia="bg-BG"/>
        </w:rPr>
      </w:pPr>
    </w:p>
    <w:p w:rsidR="00B74F5C" w:rsidRPr="00B74F5C" w:rsidRDefault="00B74F5C" w:rsidP="00B74F5C">
      <w:pPr>
        <w:spacing w:after="57" w:line="185" w:lineRule="atLeast"/>
        <w:jc w:val="center"/>
        <w:textAlignment w:val="center"/>
        <w:rPr>
          <w:rFonts w:eastAsia="Times New Roman" w:cs="Times New Roman"/>
          <w:sz w:val="24"/>
          <w:szCs w:val="24"/>
          <w:lang w:eastAsia="bg-BG"/>
        </w:rPr>
      </w:pPr>
      <w:r w:rsidRPr="00B74F5C">
        <w:rPr>
          <w:rFonts w:eastAsia="Times New Roman" w:cs="Times New Roman"/>
          <w:b/>
          <w:bCs/>
          <w:color w:val="000000"/>
          <w:sz w:val="24"/>
          <w:szCs w:val="24"/>
          <w:lang w:eastAsia="bg-BG"/>
        </w:rPr>
        <w:t>Преамбюл</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color w:val="000000"/>
          <w:sz w:val="24"/>
          <w:szCs w:val="24"/>
          <w:lang w:eastAsia="bg-BG"/>
        </w:rPr>
        <w:t>Като взе предвид член 4, параграф 5, буква б) от Регламент (ЕС) 2016/369 на Съвета относно предоставянето на спешна помощ в рамките на Съюза</w:t>
      </w:r>
      <w:r w:rsidRPr="00B74F5C">
        <w:rPr>
          <w:rFonts w:eastAsia="Times New Roman" w:cs="Times New Roman"/>
          <w:color w:val="000000"/>
          <w:sz w:val="24"/>
          <w:szCs w:val="24"/>
          <w:vertAlign w:val="superscript"/>
          <w:lang w:eastAsia="bg-BG"/>
        </w:rPr>
        <w:t>1</w:t>
      </w:r>
      <w:r w:rsidRPr="00B74F5C">
        <w:rPr>
          <w:rFonts w:eastAsia="Times New Roman" w:cs="Times New Roman"/>
          <w:color w:val="000000"/>
          <w:sz w:val="24"/>
          <w:szCs w:val="24"/>
          <w:lang w:eastAsia="bg-BG"/>
        </w:rPr>
        <w:t>, изменен с Регламент (ЕС) 2020/521 на Съвета от 14 април 2020 г. за активиране на спешната помощ съгласно Регламент (ЕС) 2016/369 и за изменение на нейните разпоредби, като взема предвид избухването на COVID-19 (наричано по-долу „ESI“ или „ESI Регламент“);</w:t>
      </w:r>
    </w:p>
    <w:p w:rsidR="00B74F5C" w:rsidRPr="00B74F5C" w:rsidRDefault="00B74F5C" w:rsidP="00B74F5C">
      <w:pPr>
        <w:spacing w:after="0" w:line="185" w:lineRule="atLeast"/>
        <w:jc w:val="both"/>
        <w:textAlignment w:val="center"/>
        <w:rPr>
          <w:rFonts w:eastAsia="Times New Roman" w:cs="Times New Roman"/>
          <w:sz w:val="24"/>
          <w:szCs w:val="24"/>
          <w:lang w:eastAsia="bg-BG"/>
        </w:rPr>
      </w:pPr>
      <w:r w:rsidRPr="00B74F5C">
        <w:rPr>
          <w:rFonts w:eastAsia="Times New Roman" w:cs="Times New Roman"/>
          <w:color w:val="000000"/>
          <w:sz w:val="24"/>
          <w:szCs w:val="24"/>
          <w:lang w:eastAsia="bg-BG"/>
        </w:rPr>
        <w:t>__________</w:t>
      </w:r>
    </w:p>
    <w:p w:rsidR="00B74F5C" w:rsidRPr="00B74F5C" w:rsidRDefault="00B74F5C" w:rsidP="00B74F5C">
      <w:pPr>
        <w:spacing w:after="0" w:line="185" w:lineRule="atLeast"/>
        <w:jc w:val="both"/>
        <w:textAlignment w:val="center"/>
        <w:rPr>
          <w:rFonts w:eastAsia="Times New Roman" w:cs="Times New Roman"/>
          <w:sz w:val="24"/>
          <w:szCs w:val="24"/>
          <w:lang w:eastAsia="bg-BG"/>
        </w:rPr>
      </w:pPr>
      <w:r w:rsidRPr="00B74F5C">
        <w:rPr>
          <w:rFonts w:eastAsia="Times New Roman" w:cs="Times New Roman"/>
          <w:color w:val="000000"/>
          <w:sz w:val="24"/>
          <w:szCs w:val="24"/>
          <w:vertAlign w:val="superscript"/>
          <w:lang w:eastAsia="bg-BG"/>
        </w:rPr>
        <w:t>1</w:t>
      </w:r>
    </w:p>
    <w:p w:rsidR="00B74F5C" w:rsidRPr="00B74F5C" w:rsidRDefault="00B74F5C" w:rsidP="00B74F5C">
      <w:pPr>
        <w:spacing w:after="57" w:line="185" w:lineRule="atLeast"/>
        <w:jc w:val="center"/>
        <w:textAlignment w:val="center"/>
        <w:rPr>
          <w:rFonts w:eastAsia="Times New Roman" w:cs="Times New Roman"/>
          <w:sz w:val="24"/>
          <w:szCs w:val="24"/>
          <w:lang w:eastAsia="bg-BG"/>
        </w:rPr>
      </w:pPr>
      <w:r w:rsidRPr="00B74F5C">
        <w:rPr>
          <w:rFonts w:eastAsia="Times New Roman" w:cs="Times New Roman"/>
          <w:color w:val="000000"/>
          <w:sz w:val="24"/>
          <w:szCs w:val="24"/>
          <w:lang w:eastAsia="bg-BG"/>
        </w:rPr>
        <w:t>***</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color w:val="000000"/>
          <w:spacing w:val="3"/>
          <w:sz w:val="24"/>
          <w:szCs w:val="24"/>
          <w:lang w:eastAsia="bg-BG"/>
        </w:rPr>
        <w:t>Европейската комисия („Комисията“)</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color w:val="000000"/>
          <w:spacing w:val="3"/>
          <w:sz w:val="24"/>
          <w:szCs w:val="24"/>
          <w:lang w:eastAsia="bg-BG"/>
        </w:rPr>
        <w:t>и</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color w:val="000000"/>
          <w:spacing w:val="3"/>
          <w:sz w:val="24"/>
          <w:szCs w:val="24"/>
          <w:lang w:eastAsia="bg-BG"/>
        </w:rPr>
        <w:t>Следните държави членки: (ХХХ), наричано оттук нататък „Участващите държави членки“,</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color w:val="000000"/>
          <w:spacing w:val="3"/>
          <w:sz w:val="24"/>
          <w:szCs w:val="24"/>
          <w:lang w:eastAsia="bg-BG"/>
        </w:rPr>
        <w:t>Заедно наричано „Страните“,</w:t>
      </w:r>
    </w:p>
    <w:p w:rsidR="00B74F5C" w:rsidRDefault="00B74F5C" w:rsidP="00B74F5C">
      <w:pPr>
        <w:spacing w:after="0" w:line="185" w:lineRule="atLeast"/>
        <w:ind w:firstLine="283"/>
        <w:jc w:val="both"/>
        <w:textAlignment w:val="center"/>
        <w:rPr>
          <w:rFonts w:eastAsia="Times New Roman" w:cs="Times New Roman"/>
          <w:color w:val="000000"/>
          <w:spacing w:val="3"/>
          <w:sz w:val="24"/>
          <w:szCs w:val="24"/>
          <w:lang w:val="en-US" w:eastAsia="bg-BG"/>
        </w:rPr>
      </w:pPr>
      <w:r w:rsidRPr="00B74F5C">
        <w:rPr>
          <w:rFonts w:eastAsia="Times New Roman" w:cs="Times New Roman"/>
          <w:color w:val="000000"/>
          <w:spacing w:val="3"/>
          <w:sz w:val="24"/>
          <w:szCs w:val="24"/>
          <w:lang w:eastAsia="bg-BG"/>
        </w:rPr>
        <w:t>Се договориха следното:</w:t>
      </w:r>
    </w:p>
    <w:p w:rsidR="00B74F5C" w:rsidRPr="00B74F5C" w:rsidRDefault="00B74F5C" w:rsidP="00B74F5C">
      <w:pPr>
        <w:spacing w:after="0" w:line="185" w:lineRule="atLeast"/>
        <w:ind w:firstLine="283"/>
        <w:jc w:val="both"/>
        <w:textAlignment w:val="center"/>
        <w:rPr>
          <w:rFonts w:eastAsia="Times New Roman" w:cs="Times New Roman"/>
          <w:sz w:val="24"/>
          <w:szCs w:val="24"/>
          <w:lang w:val="en-US" w:eastAsia="bg-BG"/>
        </w:rPr>
      </w:pPr>
    </w:p>
    <w:p w:rsidR="00B74F5C" w:rsidRPr="00B74F5C" w:rsidRDefault="00B74F5C" w:rsidP="00B74F5C">
      <w:pPr>
        <w:spacing w:after="57" w:line="185" w:lineRule="atLeast"/>
        <w:jc w:val="center"/>
        <w:textAlignment w:val="center"/>
        <w:rPr>
          <w:rFonts w:eastAsia="Times New Roman" w:cs="Times New Roman"/>
          <w:b/>
          <w:bCs/>
          <w:color w:val="000000"/>
          <w:spacing w:val="3"/>
          <w:sz w:val="24"/>
          <w:szCs w:val="24"/>
          <w:lang w:val="en-US" w:eastAsia="bg-BG"/>
        </w:rPr>
      </w:pPr>
      <w:r w:rsidRPr="00B74F5C">
        <w:rPr>
          <w:rFonts w:eastAsia="Times New Roman" w:cs="Times New Roman"/>
          <w:b/>
          <w:bCs/>
          <w:color w:val="000000"/>
          <w:spacing w:val="3"/>
          <w:sz w:val="24"/>
          <w:szCs w:val="24"/>
          <w:lang w:eastAsia="bg-BG"/>
        </w:rPr>
        <w:t>Член 1. Цел и мандат на Комисията</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color w:val="000000"/>
          <w:spacing w:val="3"/>
          <w:sz w:val="24"/>
          <w:szCs w:val="24"/>
          <w:lang w:eastAsia="bg-BG"/>
        </w:rPr>
        <w:t>Въз основа на настоящото Споразумение Комисията е упълномощена да сключи от името на участващите държави членки предварителни споразумения за покупка („APA“) с производители на ваксини с цел да се снабдят с ваксини за целите на борбата с пандемията от COVID-19 на ниво на Съюза.</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color w:val="000000"/>
          <w:spacing w:val="3"/>
          <w:sz w:val="24"/>
          <w:szCs w:val="24"/>
          <w:lang w:eastAsia="bg-BG"/>
        </w:rPr>
        <w:t>Приложението към настоящото Споразумение определя директивите за преговори за тази цел.</w:t>
      </w:r>
    </w:p>
    <w:p w:rsidR="00B74F5C" w:rsidRPr="00B74F5C" w:rsidRDefault="00B74F5C" w:rsidP="00B74F5C">
      <w:pPr>
        <w:spacing w:after="57" w:line="185" w:lineRule="atLeast"/>
        <w:jc w:val="center"/>
        <w:textAlignment w:val="center"/>
        <w:rPr>
          <w:rFonts w:eastAsia="Times New Roman" w:cs="Times New Roman"/>
          <w:sz w:val="24"/>
          <w:szCs w:val="24"/>
          <w:lang w:eastAsia="bg-BG"/>
        </w:rPr>
      </w:pPr>
      <w:r w:rsidRPr="00B74F5C">
        <w:rPr>
          <w:rFonts w:eastAsia="Times New Roman" w:cs="Times New Roman"/>
          <w:b/>
          <w:bCs/>
          <w:color w:val="000000"/>
          <w:spacing w:val="3"/>
          <w:sz w:val="24"/>
          <w:szCs w:val="24"/>
          <w:lang w:eastAsia="bg-BG"/>
        </w:rPr>
        <w:t>Член 2. Придобиване на дози ваксина</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color w:val="000000"/>
          <w:spacing w:val="3"/>
          <w:sz w:val="24"/>
          <w:szCs w:val="24"/>
          <w:lang w:eastAsia="bg-BG"/>
        </w:rPr>
        <w:t xml:space="preserve">Участващите държави членки, а не Комисията, ще придобият дози ваксини от производителите на базата на APA, освен ако не е договорено друго. Следователно </w:t>
      </w:r>
      <w:r w:rsidRPr="00B74F5C">
        <w:rPr>
          <w:rFonts w:eastAsia="Times New Roman" w:cs="Times New Roman"/>
          <w:color w:val="000000"/>
          <w:spacing w:val="3"/>
          <w:sz w:val="24"/>
          <w:szCs w:val="24"/>
          <w:lang w:eastAsia="bg-BG"/>
        </w:rPr>
        <w:lastRenderedPageBreak/>
        <w:t>всички съответни политики за ваксинация остават по преценка за участващите държави членки.</w:t>
      </w:r>
    </w:p>
    <w:p w:rsidR="00B74F5C" w:rsidRPr="00B74F5C" w:rsidRDefault="00B74F5C" w:rsidP="00B74F5C">
      <w:pPr>
        <w:spacing w:after="57" w:line="185" w:lineRule="atLeast"/>
        <w:jc w:val="center"/>
        <w:textAlignment w:val="center"/>
        <w:rPr>
          <w:rFonts w:eastAsia="Times New Roman" w:cs="Times New Roman"/>
          <w:sz w:val="24"/>
          <w:szCs w:val="24"/>
          <w:lang w:eastAsia="bg-BG"/>
        </w:rPr>
      </w:pPr>
      <w:r w:rsidRPr="00B74F5C">
        <w:rPr>
          <w:rFonts w:eastAsia="Times New Roman" w:cs="Times New Roman"/>
          <w:b/>
          <w:bCs/>
          <w:color w:val="000000"/>
          <w:spacing w:val="3"/>
          <w:sz w:val="24"/>
          <w:szCs w:val="24"/>
          <w:lang w:eastAsia="bg-BG"/>
        </w:rPr>
        <w:t>Член 3. APA, съдържащо право на придобиване на дози ваксина</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color w:val="000000"/>
          <w:spacing w:val="3"/>
          <w:sz w:val="24"/>
          <w:szCs w:val="24"/>
          <w:lang w:eastAsia="bg-BG"/>
        </w:rPr>
        <w:t>Когато Комисията сключи APA в съответствие с настоящото Споразумение, което предоставя правото на участващите държави членки да придобиват дози ваксини, използването на такова право се осъществява чрез сключване на договори между участващите държави членки и производителите на ваксини. Не се задължава никоя участваща държава членка да сключва такъв договор въз основа на APA. За тази цел APA съдържа клауза.</w:t>
      </w:r>
    </w:p>
    <w:p w:rsidR="00B74F5C" w:rsidRPr="00B74F5C" w:rsidRDefault="00B74F5C" w:rsidP="00B74F5C">
      <w:pPr>
        <w:spacing w:after="57" w:line="185" w:lineRule="atLeast"/>
        <w:jc w:val="center"/>
        <w:textAlignment w:val="center"/>
        <w:rPr>
          <w:rFonts w:eastAsia="Times New Roman" w:cs="Times New Roman"/>
          <w:sz w:val="24"/>
          <w:szCs w:val="24"/>
          <w:lang w:eastAsia="bg-BG"/>
        </w:rPr>
      </w:pPr>
      <w:r w:rsidRPr="00B74F5C">
        <w:rPr>
          <w:rFonts w:eastAsia="Times New Roman" w:cs="Times New Roman"/>
          <w:b/>
          <w:bCs/>
          <w:color w:val="000000"/>
          <w:spacing w:val="3"/>
          <w:sz w:val="24"/>
          <w:szCs w:val="24"/>
          <w:lang w:eastAsia="bg-BG"/>
        </w:rPr>
        <w:t>Член 4. APA, съдържащи задължение за придобиване на дози ваксина</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color w:val="000000"/>
          <w:spacing w:val="3"/>
          <w:sz w:val="24"/>
          <w:szCs w:val="24"/>
          <w:lang w:eastAsia="bg-BG"/>
        </w:rPr>
        <w:t>Когато Комисията възнамерява да сключи, в съответствие с настоящото Споразумение, APA, съдържащо задължение за придобиване на дози ваксина, тя информира участващите държави членки за такова намерение и за подробните условия. В случай че участваща държава членка не е съгласна със сключването на APA, съдържащо задължение за придобиване на дози ваксина, или неговите условия, тя има право да се откаже чрез изрично уведомяване на Комисията в рамките на 5 работни дни, след като Комисията е съобщила намерението си за сключване на АРА. Всички участващи държави членки, които не са се отказали в рамките на 5 работни дни, се считат, че са упълномощили Комисията да преговаря и сключва APA с производителя на ваксината от тяхно име.</w:t>
      </w:r>
    </w:p>
    <w:p w:rsidR="00B74F5C" w:rsidRPr="00B74F5C" w:rsidRDefault="00B74F5C" w:rsidP="00B74F5C">
      <w:pPr>
        <w:spacing w:after="57" w:line="185" w:lineRule="atLeast"/>
        <w:jc w:val="center"/>
        <w:textAlignment w:val="center"/>
        <w:rPr>
          <w:rFonts w:eastAsia="Times New Roman" w:cs="Times New Roman"/>
          <w:sz w:val="24"/>
          <w:szCs w:val="24"/>
          <w:lang w:eastAsia="bg-BG"/>
        </w:rPr>
      </w:pPr>
      <w:r w:rsidRPr="00B74F5C">
        <w:rPr>
          <w:rFonts w:eastAsia="Times New Roman" w:cs="Times New Roman"/>
          <w:b/>
          <w:bCs/>
          <w:color w:val="000000"/>
          <w:spacing w:val="3"/>
          <w:sz w:val="24"/>
          <w:szCs w:val="24"/>
          <w:lang w:eastAsia="bg-BG"/>
        </w:rPr>
        <w:t>Член 5. Правно обвързващият характер на АРА</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color w:val="000000"/>
          <w:spacing w:val="3"/>
          <w:sz w:val="24"/>
          <w:szCs w:val="24"/>
          <w:lang w:eastAsia="bg-BG"/>
        </w:rPr>
        <w:t>След като бъде сключен, условията на АРА са правно обвързващи за участващите държави членки, с изключение на тези, които са упражнили правото си да се откажат.</w:t>
      </w:r>
    </w:p>
    <w:p w:rsidR="00B74F5C" w:rsidRPr="00B74F5C" w:rsidRDefault="00B74F5C" w:rsidP="00B74F5C">
      <w:pPr>
        <w:spacing w:after="57" w:line="185" w:lineRule="atLeast"/>
        <w:jc w:val="center"/>
        <w:textAlignment w:val="center"/>
        <w:rPr>
          <w:rFonts w:eastAsia="Times New Roman" w:cs="Times New Roman"/>
          <w:sz w:val="24"/>
          <w:szCs w:val="24"/>
          <w:lang w:eastAsia="bg-BG"/>
        </w:rPr>
      </w:pPr>
      <w:r w:rsidRPr="00B74F5C">
        <w:rPr>
          <w:rFonts w:eastAsia="Times New Roman" w:cs="Times New Roman"/>
          <w:b/>
          <w:bCs/>
          <w:color w:val="000000"/>
          <w:spacing w:val="3"/>
          <w:sz w:val="24"/>
          <w:szCs w:val="24"/>
          <w:lang w:eastAsia="bg-BG"/>
        </w:rPr>
        <w:t>Член 6. Задължение и отговорност</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color w:val="000000"/>
          <w:spacing w:val="3"/>
          <w:sz w:val="24"/>
          <w:szCs w:val="24"/>
          <w:lang w:eastAsia="bg-BG"/>
        </w:rPr>
        <w:t>Настоящото Споразумение урежда само разделението на потенциална отговорност и обезщетение между Комисията и участващите държави членки. То не регламентира степента или условията, при които потенциалната отговорност на производителя на ваксината може да бъде поета или обезщетена съгласно APA.</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color w:val="000000"/>
          <w:spacing w:val="3"/>
          <w:sz w:val="24"/>
          <w:szCs w:val="24"/>
          <w:lang w:eastAsia="bg-BG"/>
        </w:rPr>
        <w:t>Комисията носи изключителна отговорност за процеса на възлагане на обществени поръчки и сключването на APA, включително всяка отговорност, произтичаща от провеждането на преговорите.</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color w:val="000000"/>
          <w:spacing w:val="3"/>
          <w:sz w:val="24"/>
          <w:szCs w:val="24"/>
          <w:lang w:eastAsia="bg-BG"/>
        </w:rPr>
        <w:t>Участващите държави членки, които придобиват ваксина, са отговорни за разполагането и използването на ваксините съгласно техните национални стратегии за ваксинация и носят всякаква отговорност, свързана с такава употреба и внедряване. Това се разпростира и включва всяко обезщетение на производителите на ваксини съгласно реда и условията на съответното APA за отговорност, свързана с използването и внедряването на ваксини, които обикновено се поемат от такъв производител.</w:t>
      </w:r>
    </w:p>
    <w:p w:rsidR="00B74F5C" w:rsidRPr="00B74F5C" w:rsidRDefault="00B74F5C" w:rsidP="00B74F5C">
      <w:pPr>
        <w:spacing w:after="57" w:line="185" w:lineRule="atLeast"/>
        <w:jc w:val="center"/>
        <w:textAlignment w:val="center"/>
        <w:rPr>
          <w:rFonts w:eastAsia="Times New Roman" w:cs="Times New Roman"/>
          <w:sz w:val="24"/>
          <w:szCs w:val="24"/>
          <w:lang w:eastAsia="bg-BG"/>
        </w:rPr>
      </w:pPr>
      <w:r w:rsidRPr="00B74F5C">
        <w:rPr>
          <w:rFonts w:eastAsia="Times New Roman" w:cs="Times New Roman"/>
          <w:b/>
          <w:bCs/>
          <w:color w:val="000000"/>
          <w:spacing w:val="3"/>
          <w:sz w:val="24"/>
          <w:szCs w:val="24"/>
          <w:lang w:eastAsia="bg-BG"/>
        </w:rPr>
        <w:t>Член 7. Задължение да не се преговаря отделно</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color w:val="000000"/>
          <w:spacing w:val="3"/>
          <w:sz w:val="24"/>
          <w:szCs w:val="24"/>
          <w:lang w:eastAsia="bg-BG"/>
        </w:rPr>
        <w:t>С подписването на настоящото Споразумение участващите държави членки потвърждават участието си в процедурата и се съгласяват да не стартират свои собствени процедури за предварително закупуване на тази ваксина със същите производители.</w:t>
      </w:r>
    </w:p>
    <w:p w:rsidR="00B74F5C" w:rsidRDefault="00B74F5C" w:rsidP="00B74F5C">
      <w:pPr>
        <w:spacing w:after="0" w:line="185" w:lineRule="atLeast"/>
        <w:ind w:firstLine="283"/>
        <w:jc w:val="both"/>
        <w:textAlignment w:val="center"/>
        <w:rPr>
          <w:rFonts w:eastAsia="Times New Roman" w:cs="Times New Roman"/>
          <w:sz w:val="24"/>
          <w:szCs w:val="24"/>
          <w:lang w:val="en-US" w:eastAsia="bg-BG"/>
        </w:rPr>
      </w:pPr>
      <w:r w:rsidRPr="00B74F5C">
        <w:rPr>
          <w:rFonts w:eastAsia="Times New Roman" w:cs="Times New Roman"/>
          <w:color w:val="000000"/>
          <w:spacing w:val="3"/>
          <w:sz w:val="24"/>
          <w:szCs w:val="24"/>
          <w:lang w:eastAsia="bg-BG"/>
        </w:rPr>
        <w:t>В случай че APA, съдържащо задължение за придобиване на ваксини, е сключено с конкретен производител, държавите членки, които са се възползвали от отказа, предоставен съгласно настоящото Споразумение, могат да започнат отделни преговори със същия производител, след като APA съгласно настоящото Споразумение е подписано.</w:t>
      </w:r>
    </w:p>
    <w:p w:rsidR="00B74F5C" w:rsidRPr="00B74F5C" w:rsidRDefault="00B74F5C" w:rsidP="00B74F5C">
      <w:pPr>
        <w:spacing w:after="0" w:line="185" w:lineRule="atLeast"/>
        <w:ind w:firstLine="283"/>
        <w:jc w:val="center"/>
        <w:textAlignment w:val="center"/>
        <w:rPr>
          <w:rFonts w:eastAsia="Times New Roman" w:cs="Times New Roman"/>
          <w:sz w:val="24"/>
          <w:szCs w:val="24"/>
          <w:lang w:eastAsia="bg-BG"/>
        </w:rPr>
      </w:pPr>
      <w:r w:rsidRPr="00B74F5C">
        <w:rPr>
          <w:rFonts w:eastAsia="Times New Roman" w:cs="Times New Roman"/>
          <w:b/>
          <w:bCs/>
          <w:color w:val="000000"/>
          <w:spacing w:val="3"/>
          <w:sz w:val="24"/>
          <w:szCs w:val="24"/>
          <w:lang w:eastAsia="bg-BG"/>
        </w:rPr>
        <w:lastRenderedPageBreak/>
        <w:t>Приложение</w:t>
      </w:r>
    </w:p>
    <w:p w:rsidR="00B74F5C" w:rsidRPr="00B74F5C" w:rsidRDefault="00B74F5C" w:rsidP="00B74F5C">
      <w:pPr>
        <w:spacing w:after="0" w:line="185" w:lineRule="atLeast"/>
        <w:ind w:firstLine="283"/>
        <w:jc w:val="center"/>
        <w:textAlignment w:val="center"/>
        <w:rPr>
          <w:rFonts w:eastAsia="Times New Roman" w:cs="Times New Roman"/>
          <w:sz w:val="24"/>
          <w:szCs w:val="24"/>
          <w:lang w:eastAsia="bg-BG"/>
        </w:rPr>
      </w:pPr>
      <w:r w:rsidRPr="00B74F5C">
        <w:rPr>
          <w:rFonts w:eastAsia="Times New Roman" w:cs="Times New Roman"/>
          <w:b/>
          <w:bCs/>
          <w:color w:val="000000"/>
          <w:spacing w:val="3"/>
          <w:sz w:val="24"/>
          <w:szCs w:val="24"/>
          <w:lang w:eastAsia="bg-BG"/>
        </w:rPr>
        <w:t>Първоначални съображения</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color w:val="000000"/>
          <w:spacing w:val="3"/>
          <w:sz w:val="24"/>
          <w:szCs w:val="24"/>
          <w:lang w:eastAsia="bg-BG"/>
        </w:rPr>
        <w:t>Постоянното решение на кризата COVID-19 най-вероятно ще бъде постигнато чрез разработването и внедряването на безопасна и ефективна ваксина срещу вируса. Всеки месец, спечелен за внедряването на ваксина, ще спаси много животи, много работни места и милиарди евро.</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color w:val="000000"/>
          <w:spacing w:val="3"/>
          <w:sz w:val="24"/>
          <w:szCs w:val="24"/>
          <w:lang w:eastAsia="bg-BG"/>
        </w:rPr>
        <w:t>Следователно целта на настоящото Споразумение е ЕС да предприеме стъпки за осигуряване на достатъчно доставки на безопасна и ефективна ваксина за държавите членки.</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b/>
          <w:bCs/>
          <w:color w:val="000000"/>
          <w:spacing w:val="3"/>
          <w:sz w:val="24"/>
          <w:szCs w:val="24"/>
          <w:lang w:eastAsia="bg-BG"/>
        </w:rPr>
        <w:t>Структура и цел на обществената поръчка</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color w:val="000000"/>
          <w:spacing w:val="3"/>
          <w:sz w:val="24"/>
          <w:szCs w:val="24"/>
          <w:lang w:eastAsia="bg-BG"/>
        </w:rPr>
        <w:t>Работата върху ваксина срещу COVID-19 е предизвикателство по много причини: съкратените срокове за разработка, големите първоначални разходи за производителите, високата степен на провал по време на клиничните изпитвания. Ако производителите на ваксини следват обичайната си практика да инвестират в производствен капацитет само когато са сигурни в жизнеспособен продукт, това ще доведе до значително по-дълги срокове на чакане за ваксина. Сега трябва да се направят инвестиции, за да се гарантира, че ваксините се произвеждат в необходимия мащаб възможно най-рано.</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color w:val="000000"/>
          <w:spacing w:val="3"/>
          <w:sz w:val="24"/>
          <w:szCs w:val="24"/>
          <w:lang w:eastAsia="bg-BG"/>
        </w:rPr>
        <w:t>Съгласно настоящото Споразумение това предизвикателство ще бъде разрешено чрез сключване на предварителни споразумения за покупка на равнище ЕС („APA“) с производители на ваксини, когато е необходимо, за да се осигури достъп до кандидатите за ваксина, когато те са успешни, включително предварително финансиране от ЕС за премахване на риска за основни инвестиции за увеличаване на скоростта и мащаба на производството на успешни ваксини. Финансирането на авансовите плащания ще дойде от Инструмента за спешна помощ (ESI).</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color w:val="000000"/>
          <w:spacing w:val="3"/>
          <w:sz w:val="24"/>
          <w:szCs w:val="24"/>
          <w:lang w:eastAsia="bg-BG"/>
        </w:rPr>
        <w:t>Страните разбират, че разработването на безопасна и ефективна ваксина е много сложен процес и рискът от неуспех във всяко такова начинание е много голям. Следователно целта е да се въведат APA с редица производители на водещи кандидати за ваксина, за да се увеличат максимално шансовете за достъп до поне една успешна ваксина.</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color w:val="000000"/>
          <w:spacing w:val="3"/>
          <w:sz w:val="24"/>
          <w:szCs w:val="24"/>
          <w:lang w:eastAsia="bg-BG"/>
        </w:rPr>
        <w:t>Комисията ще покани всички производители на ваксини да покажат интерес. Като цяло Комисията ще даде предимство на договарянето на конкретни APA с онези производители, които: (а) са встъпили или имат твърди планове да започнат клинични изпитвания още през 2020 г., (б) имат капацитета да разработят успешна ваксина, и (в) имат доказан капацитет за производство в мащаб още през 2021 г.</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b/>
          <w:bCs/>
          <w:color w:val="000000"/>
          <w:spacing w:val="3"/>
          <w:sz w:val="24"/>
          <w:szCs w:val="24"/>
          <w:lang w:eastAsia="bg-BG"/>
        </w:rPr>
        <w:t>Процес и управление</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color w:val="000000"/>
          <w:spacing w:val="3"/>
          <w:sz w:val="24"/>
          <w:szCs w:val="24"/>
          <w:lang w:eastAsia="bg-BG"/>
        </w:rPr>
        <w:t>За да управлява обществената поръчка централно и ефективно, Европейската комисия ще създаде управителен съвет за процеса, предмет на член 6 от настоящото Споразумение. Той ще бъде председателстван от Европейската комисия и участваща държава членка с опит в преговорите и производствения капацитет на ваксините. Управителният съвет ще включва висши служители от всички участващи държави членки, които да подпомагат и дават насоки по време на процеса на оценка.</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color w:val="000000"/>
          <w:spacing w:val="3"/>
          <w:sz w:val="24"/>
          <w:szCs w:val="24"/>
          <w:lang w:eastAsia="bg-BG"/>
        </w:rPr>
        <w:t xml:space="preserve">Съпредседателите на управителния съвет ще предложат екип от ограничен брой експерти със съответен опит за текущите преговори от шест участващи държави членки с производствен капацитет на ваксини. Тези експерти ще се присъединят към Европейската комисия в екип за преговори („съвместен екип за преговори“), който ще работи непрекъснато като едно звено. Този съвместен екип за преговори ще започне работа незабавно, надграждайки предишни контакти с отделни компании от Европейската комисия и участващите държави членки. За да започнат преговори с конкретен производител, трябва да има подкрепа от поне четири участващи държави </w:t>
      </w:r>
      <w:r w:rsidRPr="00B74F5C">
        <w:rPr>
          <w:rFonts w:eastAsia="Times New Roman" w:cs="Times New Roman"/>
          <w:color w:val="000000"/>
          <w:spacing w:val="3"/>
          <w:sz w:val="24"/>
          <w:szCs w:val="24"/>
          <w:lang w:eastAsia="bg-BG"/>
        </w:rPr>
        <w:lastRenderedPageBreak/>
        <w:t>членки. Съвместният екип за преговори ще направи всичко възможно да вземе предвид съветите на управителния съвет при преговорите и редовно ще докладва на управителния съвет за напредъка, постигнат в преговорите с отделни компании.</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color w:val="000000"/>
          <w:spacing w:val="3"/>
          <w:sz w:val="24"/>
          <w:szCs w:val="24"/>
          <w:lang w:eastAsia="bg-BG"/>
        </w:rPr>
        <w:t>За спазване на приложимите правила всички членове на управителния съвет и съвместния екип за преговори ще получат статут на експерти, свързани с процеса на възлагане на обществени поръчки, както е предвидено във Финансовия регламент. Предвид достъпа им до силно чувствителна бизнес информация всички тези членове ще трябва да подпишат споразумения за строга конфиденциалност и конфликт на интереси.</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color w:val="000000"/>
          <w:spacing w:val="3"/>
          <w:sz w:val="24"/>
          <w:szCs w:val="24"/>
          <w:lang w:eastAsia="bg-BG"/>
        </w:rPr>
        <w:t>След това, подпомагана от управителния съвет, Европейската комисия ще реши кое от произтичащите от това APA следва да бъде сключено, по-специално, ако финансирането по ESI не е достатъчно за финансиране на всички съответни пакети. Комисията ще вземе предвид онези APA за финансиране само когато най-малко четири държави членки са изразили съгласие. Преди да вземе окончателни решения, Комисията ще потърси независим научен съвет относно състоянието на напредъка и наличните данни за качество, безопасност и ефикасност за въпросния кандидат за ваксина.</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color w:val="000000"/>
          <w:spacing w:val="3"/>
          <w:sz w:val="24"/>
          <w:szCs w:val="24"/>
          <w:lang w:eastAsia="bg-BG"/>
        </w:rPr>
        <w:t>Ако финансирането по ESI е недостатъчно, участващите държави членки могат да решат да подпомогнат финансирането на ESI, за да компенсират празнината за финансиране на всички пакети. В такъв случай, когато има възможности за сключване на допълнителни APA, но парите от ESI вече не са достатъчни, участващите държави членки ще имат възможността да изразят своя интерес към такива възможности. Ако най-малко четири участващи държави членки проявят интерес, тези участващи държави членки ще се възползват от възможността за доброволно участие в ESI до необходимата сума, позволяваща на Комисията да продължи подписването на APA само от името на онези държави членки, които са изразили интерес и са допринесли със средства за ESI.</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color w:val="000000"/>
          <w:spacing w:val="3"/>
          <w:sz w:val="24"/>
          <w:szCs w:val="24"/>
          <w:lang w:eastAsia="bg-BG"/>
        </w:rPr>
        <w:t>За пълна прозрачност Европейската комисия ще докладва на IPCR най-малко веднъж на две седмици за цялостния напредък по-общо.</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b/>
          <w:bCs/>
          <w:color w:val="000000"/>
          <w:spacing w:val="3"/>
          <w:sz w:val="24"/>
          <w:szCs w:val="24"/>
          <w:lang w:eastAsia="bg-BG"/>
        </w:rPr>
        <w:t>Предварителни споразумения за покупка и условия</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color w:val="000000"/>
          <w:spacing w:val="3"/>
          <w:sz w:val="24"/>
          <w:szCs w:val="24"/>
          <w:lang w:eastAsia="bg-BG"/>
        </w:rPr>
        <w:t>За да се сключат APA, съвместният екип за преговори ще договаря пакети за финансиране с отделни производители на ваксини в замяна на правото да закупят определен брой ваксини в определени срокове и на определена цена.</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color w:val="000000"/>
          <w:spacing w:val="3"/>
          <w:sz w:val="24"/>
          <w:szCs w:val="24"/>
          <w:lang w:eastAsia="bg-BG"/>
        </w:rPr>
        <w:t>Както е посочено в настоящото Споразумение, Европейската комисия също има възможност да сключи APA, включващи задължение за закупуване на ваксината, ако тя стане налична, когато условията (по-специално ценообразуването) на тези APA правят това полезно и в съответствие с условията в настоящото Споразумение. Ако в такъв случай разликата между авансовите плащания и покупната цена е трудна за изготвяне, Комисията ще разпредели общите разходи, свързани с покупката на ваксина, но във всеки случай ще допринесе с не повече от 50 % от общите разходи.</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color w:val="000000"/>
          <w:spacing w:val="3"/>
          <w:sz w:val="24"/>
          <w:szCs w:val="24"/>
          <w:lang w:eastAsia="bg-BG"/>
        </w:rPr>
        <w:t>Предварителното финансиране се счита за авансово плащане за всяка евентуална покупка от държавите членки, като по този начин се намалява сумата, която държавите членки ще трябва да платят при евентуално закупуване на тази ваксина.</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color w:val="000000"/>
          <w:spacing w:val="3"/>
          <w:sz w:val="24"/>
          <w:szCs w:val="24"/>
          <w:lang w:eastAsia="bg-BG"/>
        </w:rPr>
        <w:t>Предварителните плащания по APA се използват от производителите, за да намалят рисковете за необходимите инвестиции, свързани както с развитието на ваксината, така и с клиничните изпитвания, както и с подготовката на мащабния производствен капацитет по цялата верига на производство на ваксина в ЕС, необходима за бързо разполагане на милиони дози от евентуална ваксина. Съответните плащания трябва да бъдат структурирани според нуждите на производителя, но при условие на състоянието на развитието на ваксината, по-</w:t>
      </w:r>
      <w:r w:rsidRPr="00B74F5C">
        <w:rPr>
          <w:rFonts w:eastAsia="Times New Roman" w:cs="Times New Roman"/>
          <w:color w:val="000000"/>
          <w:spacing w:val="3"/>
          <w:sz w:val="24"/>
          <w:szCs w:val="24"/>
          <w:lang w:eastAsia="bg-BG"/>
        </w:rPr>
        <w:lastRenderedPageBreak/>
        <w:t>специално, разчитайки на прозрачността на свързаните клинични данни и нейната оценка, към момента на плащането. Това е с цел да се избегнат задължения за плащане в ситуации, в които работата по разработка е показала, че кандидатът за ваксина вероятно е неуспешен.</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color w:val="000000"/>
          <w:spacing w:val="3"/>
          <w:sz w:val="24"/>
          <w:szCs w:val="24"/>
          <w:lang w:eastAsia="bg-BG"/>
        </w:rPr>
        <w:t>Покупната цена на ваксината, както и осигуреното предварително финансиране ще вземат предвид прозрачната прогнозна оценка на производствените разходи (подкрепени от независими одити, когато са налични), както и ресурсите, които вече са предоставени от други публични източници. Съгласно APA производителят може да бъде помолен да предостави последващи доказателства, подкрепени от независими одити, относно дейностите, финансирани от тези плащания.</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color w:val="000000"/>
          <w:spacing w:val="3"/>
          <w:sz w:val="24"/>
          <w:szCs w:val="24"/>
          <w:lang w:eastAsia="bg-BG"/>
        </w:rPr>
        <w:t>Целта на преговорите е сключването на APA с отделни компании при най-добрите възможни условия. Тези APA трябва да посочват подробности по отношение на:</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color w:val="000000"/>
          <w:spacing w:val="3"/>
          <w:sz w:val="24"/>
          <w:szCs w:val="24"/>
          <w:lang w:eastAsia="bg-BG"/>
        </w:rPr>
        <w:t>a) плащания, които трябва да бъдат извършени, като суми за плащания, схеми на плащания, вид на поисканите плащания и използването на тези плащания, свързани с инвестиции без риск, финансиране на клинични изпитвания, осигуряване на оборотен капитал и увеличаване на производствения капацитет;</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color w:val="000000"/>
          <w:spacing w:val="3"/>
          <w:sz w:val="24"/>
          <w:szCs w:val="24"/>
          <w:lang w:eastAsia="bg-BG"/>
        </w:rPr>
        <w:t>б) данни за доставка на ваксината при успех, като цена за имунизирано лице (или алтернативно, необходимите дози за имунизирано лице и цена за доза), количество дози, които трябва да бъдат доставени, и срок на доставка след одобрение; и</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color w:val="000000"/>
          <w:spacing w:val="3"/>
          <w:sz w:val="24"/>
          <w:szCs w:val="24"/>
          <w:lang w:eastAsia="bg-BG"/>
        </w:rPr>
        <w:t>в) всякакви други условия, като производствен капацитет, изграден или използван в ЕС, или споразумения за отговорност.</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color w:val="000000"/>
          <w:spacing w:val="3"/>
          <w:sz w:val="24"/>
          <w:szCs w:val="24"/>
          <w:lang w:eastAsia="bg-BG"/>
        </w:rPr>
        <w:t>За договорености за отговорност съвместният екип за преговори ще положи всички възможни усилия да ограничи това, което се изисква от отделните компании за целите на обезщетението, да бъде включено в условията и реда на APA.</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color w:val="000000"/>
          <w:spacing w:val="3"/>
          <w:sz w:val="24"/>
          <w:szCs w:val="24"/>
          <w:lang w:eastAsia="bg-BG"/>
        </w:rPr>
        <w:t>APA ще съдържат разпоредби за изясняване на приложимото право както за APA, така и за произтичащите поръчки за покупка, и за компетентните съдилища. Участващите държави членки се споразумяват, че всяко APA, договорено от Комисията от тяхно име с производител на ваксина, ще има същото приложимо законодателство за всички участващи държави членки и че съдилищата, съответстващи на това приложимо право, ще бъдат компетентни да разглеждат спорове, произтичащи от това APA.</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color w:val="000000"/>
          <w:spacing w:val="3"/>
          <w:sz w:val="24"/>
          <w:szCs w:val="24"/>
          <w:lang w:eastAsia="bg-BG"/>
        </w:rPr>
        <w:t>Когато взема решение за финансиране на отделни APA, Европейската комисия, след консултация с управителния съвет, ще вземе предвид следните елементи: всички налични данни за качество, безопасност и ефикасност на ваксината в момента на договаряне на договора, скорост на доставка в мащаб, разходи, споделяне на риска, диверсификация на технологиите, капацитет за снабдяване чрез развитие на производствен капацитет в ЕС, възможно гъвкаво бъдещо използване на всеки финансиран капацитет, ангажиране на ранен етап с регулаторите на ЕС с намерение да кандидатстват за Разрешение за пускане на пазара на кандидати на ваксина(и), ангажимент за предоставяне на уязвими страни.</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color w:val="000000"/>
          <w:spacing w:val="3"/>
          <w:sz w:val="24"/>
          <w:szCs w:val="24"/>
          <w:lang w:eastAsia="bg-BG"/>
        </w:rPr>
        <w:t>Описаната по-горе процедура е в съответствие с ESI Регламента и Финансовия регламент. Последният е съобразен с Европейските директиви за възлагане на обществени поръчки, които също дават основа за националните правила за възлагане на обществени поръчки. Участващите държави членки могат да разчитат на процедурата, ръководена от Европейската комисия, за директно закупуване на ваксини от производителите, както и когато някоя от ваксините стане достъпна въз основа на условията, определени в APA. Достъп до дози ваксина ще бъде предоставен на участващите държави членки според ключа за разпределение на населението.</w:t>
      </w:r>
    </w:p>
    <w:p w:rsidR="00B74F5C" w:rsidRPr="00B74F5C" w:rsidRDefault="00B74F5C" w:rsidP="00B74F5C">
      <w:pPr>
        <w:spacing w:after="0" w:line="185" w:lineRule="atLeast"/>
        <w:ind w:firstLine="283"/>
        <w:jc w:val="both"/>
        <w:textAlignment w:val="center"/>
        <w:rPr>
          <w:rFonts w:eastAsia="Times New Roman" w:cs="Times New Roman"/>
          <w:sz w:val="24"/>
          <w:szCs w:val="24"/>
          <w:lang w:eastAsia="bg-BG"/>
        </w:rPr>
      </w:pPr>
      <w:r w:rsidRPr="00B74F5C">
        <w:rPr>
          <w:rFonts w:eastAsia="Times New Roman" w:cs="Times New Roman"/>
          <w:color w:val="000000"/>
          <w:spacing w:val="3"/>
          <w:sz w:val="24"/>
          <w:szCs w:val="24"/>
          <w:lang w:eastAsia="bg-BG"/>
        </w:rPr>
        <w:lastRenderedPageBreak/>
        <w:t>В рамките на преговорите с фармацевтичната индустрия съгласно настоящото Споразумение Комисията ще насърчи ваксината Covid-19 като глобално обществено благо. Това насърчаване ще включва достъп до тези ваксини за страни с нисък и среден доход в достатъчно количество и на ниски цени. Комисията ще се стреми да насърчава свързани с фармацевтичната индустрия въпроси, свързани със споделянето на интелектуалната собственост, особено когато такава интелектуална собственост е разработена с публична подкрепа, за да постигне тези цели. Всички ваксини, достъпни за закупуване съгласно сключените АРА, но не са необходими и закупени от участващите държави членки, могат да бъдат предоставени на глобалните усилия за солидарност.</w:t>
      </w:r>
    </w:p>
    <w:p w:rsidR="00B74F5C" w:rsidRDefault="00B74F5C" w:rsidP="00B74F5C">
      <w:pPr>
        <w:spacing w:after="0" w:line="185" w:lineRule="atLeast"/>
        <w:jc w:val="both"/>
        <w:textAlignment w:val="center"/>
        <w:rPr>
          <w:rFonts w:eastAsia="Times New Roman" w:cs="Times New Roman"/>
          <w:color w:val="000000"/>
          <w:spacing w:val="3"/>
          <w:sz w:val="24"/>
          <w:szCs w:val="24"/>
          <w:lang w:val="en-US" w:eastAsia="bg-BG"/>
        </w:rPr>
      </w:pPr>
    </w:p>
    <w:p w:rsidR="00B74F5C" w:rsidRDefault="00B74F5C" w:rsidP="00B74F5C">
      <w:pPr>
        <w:spacing w:after="0" w:line="185" w:lineRule="atLeast"/>
        <w:jc w:val="both"/>
        <w:textAlignment w:val="center"/>
        <w:rPr>
          <w:rFonts w:eastAsia="Times New Roman" w:cs="Times New Roman"/>
          <w:color w:val="000000"/>
          <w:spacing w:val="3"/>
          <w:sz w:val="24"/>
          <w:szCs w:val="24"/>
          <w:lang w:val="en-US" w:eastAsia="bg-BG"/>
        </w:rPr>
      </w:pPr>
    </w:p>
    <w:p w:rsidR="00B74F5C" w:rsidRPr="00B74F5C" w:rsidRDefault="00B74F5C" w:rsidP="00B74F5C">
      <w:pPr>
        <w:spacing w:after="0" w:line="185" w:lineRule="atLeast"/>
        <w:jc w:val="both"/>
        <w:textAlignment w:val="center"/>
        <w:rPr>
          <w:rFonts w:eastAsia="Times New Roman" w:cs="Times New Roman"/>
          <w:sz w:val="22"/>
          <w:lang w:eastAsia="bg-BG"/>
        </w:rPr>
      </w:pPr>
      <w:r w:rsidRPr="00B74F5C">
        <w:rPr>
          <w:rFonts w:eastAsia="Times New Roman" w:cs="Times New Roman"/>
          <w:color w:val="000000"/>
          <w:spacing w:val="3"/>
          <w:sz w:val="22"/>
          <w:lang w:eastAsia="bg-BG"/>
        </w:rPr>
        <w:t>6148</w:t>
      </w:r>
    </w:p>
    <w:p w:rsidR="00D97141" w:rsidRDefault="00D97141"/>
    <w:sectPr w:rsidR="00D97141" w:rsidSect="00D971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74F5C"/>
    <w:rsid w:val="002551C7"/>
    <w:rsid w:val="00511BE5"/>
    <w:rsid w:val="005742FA"/>
    <w:rsid w:val="006D58B7"/>
    <w:rsid w:val="00817D70"/>
    <w:rsid w:val="00885DD7"/>
    <w:rsid w:val="00980D4C"/>
    <w:rsid w:val="009A1164"/>
    <w:rsid w:val="009C4FE3"/>
    <w:rsid w:val="00B0470C"/>
    <w:rsid w:val="00B327F4"/>
    <w:rsid w:val="00B74F5C"/>
    <w:rsid w:val="00C33BF1"/>
    <w:rsid w:val="00CA2467"/>
    <w:rsid w:val="00D97141"/>
    <w:rsid w:val="00F110A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1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
    <w:name w:val="mark"/>
    <w:basedOn w:val="DefaultParagraphFont"/>
    <w:rsid w:val="00B74F5C"/>
  </w:style>
  <w:style w:type="character" w:customStyle="1" w:styleId="tdhead1">
    <w:name w:val="tdhead1"/>
    <w:basedOn w:val="DefaultParagraphFont"/>
    <w:rsid w:val="00B74F5C"/>
  </w:style>
  <w:style w:type="paragraph" w:styleId="NormalWeb">
    <w:name w:val="Normal (Web)"/>
    <w:basedOn w:val="Normal"/>
    <w:uiPriority w:val="99"/>
    <w:semiHidden/>
    <w:unhideWhenUsed/>
    <w:rsid w:val="00B74F5C"/>
    <w:pPr>
      <w:spacing w:before="100" w:beforeAutospacing="1" w:after="100" w:afterAutospacing="1" w:line="240" w:lineRule="auto"/>
    </w:pPr>
    <w:rPr>
      <w:rFonts w:eastAsia="Times New Roman" w:cs="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211383724">
      <w:bodyDiv w:val="1"/>
      <w:marLeft w:val="0"/>
      <w:marRight w:val="0"/>
      <w:marTop w:val="0"/>
      <w:marBottom w:val="0"/>
      <w:divBdr>
        <w:top w:val="none" w:sz="0" w:space="0" w:color="auto"/>
        <w:left w:val="none" w:sz="0" w:space="0" w:color="auto"/>
        <w:bottom w:val="none" w:sz="0" w:space="0" w:color="auto"/>
        <w:right w:val="none" w:sz="0" w:space="0" w:color="auto"/>
      </w:divBdr>
      <w:divsChild>
        <w:div w:id="2045013943">
          <w:marLeft w:val="0"/>
          <w:marRight w:val="0"/>
          <w:marTop w:val="0"/>
          <w:marBottom w:val="0"/>
          <w:divBdr>
            <w:top w:val="none" w:sz="0" w:space="0" w:color="auto"/>
            <w:left w:val="none" w:sz="0" w:space="0" w:color="auto"/>
            <w:bottom w:val="single" w:sz="6" w:space="0" w:color="CCCCCC"/>
            <w:right w:val="none" w:sz="0" w:space="0" w:color="auto"/>
          </w:divBdr>
        </w:div>
        <w:div w:id="2119180484">
          <w:marLeft w:val="0"/>
          <w:marRight w:val="0"/>
          <w:marTop w:val="0"/>
          <w:marBottom w:val="0"/>
          <w:divBdr>
            <w:top w:val="none" w:sz="0" w:space="0" w:color="auto"/>
            <w:left w:val="none" w:sz="0" w:space="0" w:color="auto"/>
            <w:bottom w:val="none" w:sz="0" w:space="0" w:color="auto"/>
            <w:right w:val="none" w:sz="0" w:space="0" w:color="auto"/>
          </w:divBdr>
          <w:divsChild>
            <w:div w:id="1818378262">
              <w:marLeft w:val="0"/>
              <w:marRight w:val="0"/>
              <w:marTop w:val="113"/>
              <w:marBottom w:val="0"/>
              <w:divBdr>
                <w:top w:val="none" w:sz="0" w:space="0" w:color="auto"/>
                <w:left w:val="none" w:sz="0" w:space="0" w:color="auto"/>
                <w:bottom w:val="none" w:sz="0" w:space="0" w:color="auto"/>
                <w:right w:val="none" w:sz="0" w:space="0" w:color="auto"/>
              </w:divBdr>
            </w:div>
            <w:div w:id="803422744">
              <w:marLeft w:val="0"/>
              <w:marRight w:val="0"/>
              <w:marTop w:val="113"/>
              <w:marBottom w:val="0"/>
              <w:divBdr>
                <w:top w:val="none" w:sz="0" w:space="0" w:color="auto"/>
                <w:left w:val="none" w:sz="0" w:space="0" w:color="auto"/>
                <w:bottom w:val="none" w:sz="0" w:space="0" w:color="auto"/>
                <w:right w:val="none" w:sz="0" w:space="0" w:color="auto"/>
              </w:divBdr>
            </w:div>
            <w:div w:id="934283783">
              <w:marLeft w:val="0"/>
              <w:marRight w:val="0"/>
              <w:marTop w:val="0"/>
              <w:marBottom w:val="113"/>
              <w:divBdr>
                <w:top w:val="none" w:sz="0" w:space="0" w:color="auto"/>
                <w:left w:val="none" w:sz="0" w:space="0" w:color="auto"/>
                <w:bottom w:val="none" w:sz="0" w:space="0" w:color="auto"/>
                <w:right w:val="none" w:sz="0" w:space="0" w:color="auto"/>
              </w:divBdr>
            </w:div>
            <w:div w:id="693580595">
              <w:marLeft w:val="0"/>
              <w:marRight w:val="0"/>
              <w:marTop w:val="0"/>
              <w:marBottom w:val="57"/>
              <w:divBdr>
                <w:top w:val="none" w:sz="0" w:space="0" w:color="auto"/>
                <w:left w:val="none" w:sz="0" w:space="0" w:color="auto"/>
                <w:bottom w:val="none" w:sz="0" w:space="0" w:color="auto"/>
                <w:right w:val="none" w:sz="0" w:space="0" w:color="auto"/>
              </w:divBdr>
            </w:div>
            <w:div w:id="1047071007">
              <w:marLeft w:val="0"/>
              <w:marRight w:val="0"/>
              <w:marTop w:val="113"/>
              <w:marBottom w:val="57"/>
              <w:divBdr>
                <w:top w:val="none" w:sz="0" w:space="0" w:color="auto"/>
                <w:left w:val="none" w:sz="0" w:space="0" w:color="auto"/>
                <w:bottom w:val="none" w:sz="0" w:space="0" w:color="auto"/>
                <w:right w:val="none" w:sz="0" w:space="0" w:color="auto"/>
              </w:divBdr>
            </w:div>
            <w:div w:id="52317813">
              <w:marLeft w:val="0"/>
              <w:marRight w:val="0"/>
              <w:marTop w:val="57"/>
              <w:marBottom w:val="0"/>
              <w:divBdr>
                <w:top w:val="none" w:sz="0" w:space="0" w:color="auto"/>
                <w:left w:val="none" w:sz="0" w:space="0" w:color="auto"/>
                <w:bottom w:val="none" w:sz="0" w:space="0" w:color="auto"/>
                <w:right w:val="none" w:sz="0" w:space="0" w:color="auto"/>
              </w:divBdr>
            </w:div>
            <w:div w:id="81491487">
              <w:marLeft w:val="0"/>
              <w:marRight w:val="0"/>
              <w:marTop w:val="57"/>
              <w:marBottom w:val="0"/>
              <w:divBdr>
                <w:top w:val="none" w:sz="0" w:space="0" w:color="auto"/>
                <w:left w:val="none" w:sz="0" w:space="0" w:color="auto"/>
                <w:bottom w:val="none" w:sz="0" w:space="0" w:color="auto"/>
                <w:right w:val="none" w:sz="0" w:space="0" w:color="auto"/>
              </w:divBdr>
            </w:div>
            <w:div w:id="624628546">
              <w:marLeft w:val="0"/>
              <w:marRight w:val="0"/>
              <w:marTop w:val="113"/>
              <w:marBottom w:val="57"/>
              <w:divBdr>
                <w:top w:val="none" w:sz="0" w:space="0" w:color="auto"/>
                <w:left w:val="none" w:sz="0" w:space="0" w:color="auto"/>
                <w:bottom w:val="none" w:sz="0" w:space="0" w:color="auto"/>
                <w:right w:val="none" w:sz="0" w:space="0" w:color="auto"/>
              </w:divBdr>
            </w:div>
            <w:div w:id="1294291386">
              <w:marLeft w:val="0"/>
              <w:marRight w:val="0"/>
              <w:marTop w:val="113"/>
              <w:marBottom w:val="57"/>
              <w:divBdr>
                <w:top w:val="none" w:sz="0" w:space="0" w:color="auto"/>
                <w:left w:val="none" w:sz="0" w:space="0" w:color="auto"/>
                <w:bottom w:val="none" w:sz="0" w:space="0" w:color="auto"/>
                <w:right w:val="none" w:sz="0" w:space="0" w:color="auto"/>
              </w:divBdr>
            </w:div>
            <w:div w:id="1782144825">
              <w:marLeft w:val="0"/>
              <w:marRight w:val="0"/>
              <w:marTop w:val="113"/>
              <w:marBottom w:val="57"/>
              <w:divBdr>
                <w:top w:val="none" w:sz="0" w:space="0" w:color="auto"/>
                <w:left w:val="none" w:sz="0" w:space="0" w:color="auto"/>
                <w:bottom w:val="none" w:sz="0" w:space="0" w:color="auto"/>
                <w:right w:val="none" w:sz="0" w:space="0" w:color="auto"/>
              </w:divBdr>
            </w:div>
            <w:div w:id="992374965">
              <w:marLeft w:val="0"/>
              <w:marRight w:val="0"/>
              <w:marTop w:val="113"/>
              <w:marBottom w:val="57"/>
              <w:divBdr>
                <w:top w:val="none" w:sz="0" w:space="0" w:color="auto"/>
                <w:left w:val="none" w:sz="0" w:space="0" w:color="auto"/>
                <w:bottom w:val="none" w:sz="0" w:space="0" w:color="auto"/>
                <w:right w:val="none" w:sz="0" w:space="0" w:color="auto"/>
              </w:divBdr>
            </w:div>
            <w:div w:id="206911800">
              <w:marLeft w:val="0"/>
              <w:marRight w:val="0"/>
              <w:marTop w:val="113"/>
              <w:marBottom w:val="57"/>
              <w:divBdr>
                <w:top w:val="none" w:sz="0" w:space="0" w:color="auto"/>
                <w:left w:val="none" w:sz="0" w:space="0" w:color="auto"/>
                <w:bottom w:val="none" w:sz="0" w:space="0" w:color="auto"/>
                <w:right w:val="none" w:sz="0" w:space="0" w:color="auto"/>
              </w:divBdr>
            </w:div>
            <w:div w:id="577908188">
              <w:marLeft w:val="0"/>
              <w:marRight w:val="0"/>
              <w:marTop w:val="113"/>
              <w:marBottom w:val="57"/>
              <w:divBdr>
                <w:top w:val="none" w:sz="0" w:space="0" w:color="auto"/>
                <w:left w:val="none" w:sz="0" w:space="0" w:color="auto"/>
                <w:bottom w:val="none" w:sz="0" w:space="0" w:color="auto"/>
                <w:right w:val="none" w:sz="0" w:space="0" w:color="auto"/>
              </w:divBdr>
            </w:div>
            <w:div w:id="1871841023">
              <w:marLeft w:val="0"/>
              <w:marRight w:val="0"/>
              <w:marTop w:val="113"/>
              <w:marBottom w:val="57"/>
              <w:divBdr>
                <w:top w:val="none" w:sz="0" w:space="0" w:color="auto"/>
                <w:left w:val="none" w:sz="0" w:space="0" w:color="auto"/>
                <w:bottom w:val="none" w:sz="0" w:space="0" w:color="auto"/>
                <w:right w:val="none" w:sz="0" w:space="0" w:color="auto"/>
              </w:divBdr>
            </w:div>
            <w:div w:id="1711610782">
              <w:marLeft w:val="0"/>
              <w:marRight w:val="0"/>
              <w:marTop w:val="113"/>
              <w:marBottom w:val="57"/>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2461</Words>
  <Characters>14034</Characters>
  <Application>Microsoft Office Word</Application>
  <DocSecurity>0</DocSecurity>
  <Lines>116</Lines>
  <Paragraphs>32</Paragraphs>
  <ScaleCrop>false</ScaleCrop>
  <Company/>
  <LinksUpToDate>false</LinksUpToDate>
  <CharactersWithSpaces>16463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2020-08-25T12:32:00Z</dcterms:created>
  <dcterms:modified xsi:type="dcterms:W3CDTF">2020-08-25T12:33:00Z</dcterms:modified>
</cp:coreProperties>
</file>