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50E" w:rsidRPr="00BB532B" w:rsidRDefault="0049550E" w:rsidP="00BB532B">
      <w:pPr>
        <w:pStyle w:val="Default"/>
        <w:spacing w:after="120" w:line="276" w:lineRule="auto"/>
        <w:jc w:val="center"/>
        <w:rPr>
          <w:b/>
          <w:sz w:val="28"/>
          <w:szCs w:val="28"/>
        </w:rPr>
      </w:pPr>
      <w:bookmarkStart w:id="0" w:name="_GoBack"/>
      <w:bookmarkEnd w:id="0"/>
      <w:r w:rsidRPr="00BB532B">
        <w:rPr>
          <w:b/>
          <w:sz w:val="28"/>
          <w:szCs w:val="28"/>
        </w:rPr>
        <w:t>А Н Е К С</w:t>
      </w:r>
    </w:p>
    <w:p w:rsidR="0049550E" w:rsidRPr="00BB532B" w:rsidRDefault="0049550E" w:rsidP="00BB532B">
      <w:pPr>
        <w:pStyle w:val="Default"/>
        <w:spacing w:after="120" w:line="276" w:lineRule="auto"/>
        <w:jc w:val="center"/>
        <w:rPr>
          <w:sz w:val="28"/>
          <w:szCs w:val="28"/>
        </w:rPr>
      </w:pPr>
      <w:r w:rsidRPr="00BB532B">
        <w:rPr>
          <w:sz w:val="28"/>
          <w:szCs w:val="28"/>
        </w:rPr>
        <w:t>КЪМ ДОГОВОР № ……………./…………….202… г.</w:t>
      </w:r>
    </w:p>
    <w:p w:rsidR="0049550E" w:rsidRPr="00BB532B" w:rsidRDefault="0049550E" w:rsidP="00BB532B">
      <w:pPr>
        <w:pStyle w:val="Default"/>
        <w:spacing w:after="120" w:line="276" w:lineRule="auto"/>
        <w:jc w:val="center"/>
        <w:rPr>
          <w:color w:val="auto"/>
        </w:rPr>
      </w:pPr>
      <w:r w:rsidRPr="00BB532B">
        <w:rPr>
          <w:color w:val="auto"/>
        </w:rPr>
        <w:t xml:space="preserve">за провеждане на обучения </w:t>
      </w:r>
    </w:p>
    <w:p w:rsidR="0049550E" w:rsidRDefault="0049550E" w:rsidP="00BB532B">
      <w:pPr>
        <w:pStyle w:val="Default"/>
        <w:spacing w:after="120" w:line="276" w:lineRule="auto"/>
        <w:jc w:val="center"/>
        <w:rPr>
          <w:color w:val="auto"/>
        </w:rPr>
      </w:pPr>
      <w:r w:rsidRPr="00BB532B">
        <w:rPr>
          <w:color w:val="auto"/>
        </w:rPr>
        <w:t>по Проект BG05M2OP001-2.010-0001 „Квалификация за професионално развитие на педагогическите специалисти“, финансиран от Оперативна програма „Наука и образование за интелигентен растеж“ 2014-2020 г., Дейност 1</w:t>
      </w:r>
    </w:p>
    <w:p w:rsidR="00BB532B" w:rsidRPr="00BB532B" w:rsidRDefault="00BB532B" w:rsidP="00BB532B">
      <w:pPr>
        <w:pStyle w:val="Default"/>
        <w:spacing w:after="120" w:line="276" w:lineRule="auto"/>
        <w:jc w:val="center"/>
        <w:rPr>
          <w:color w:val="auto"/>
        </w:rPr>
      </w:pPr>
    </w:p>
    <w:p w:rsidR="0049550E" w:rsidRPr="00BB532B" w:rsidRDefault="0049550E" w:rsidP="00BB532B">
      <w:pPr>
        <w:pStyle w:val="Default"/>
        <w:spacing w:after="120" w:line="276" w:lineRule="auto"/>
        <w:ind w:firstLine="708"/>
      </w:pPr>
      <w:r w:rsidRPr="00BB532B">
        <w:t>Днес,  ......................2021г., в гр. София, между подписаните:</w:t>
      </w:r>
    </w:p>
    <w:p w:rsidR="0049550E" w:rsidRPr="00BB532B" w:rsidRDefault="0049550E" w:rsidP="00BB532B">
      <w:pPr>
        <w:pStyle w:val="Default"/>
        <w:numPr>
          <w:ilvl w:val="0"/>
          <w:numId w:val="3"/>
        </w:numPr>
        <w:tabs>
          <w:tab w:val="left" w:pos="990"/>
        </w:tabs>
        <w:spacing w:after="120" w:line="276" w:lineRule="auto"/>
        <w:ind w:left="0" w:firstLine="720"/>
        <w:jc w:val="both"/>
        <w:rPr>
          <w:color w:val="auto"/>
        </w:rPr>
      </w:pPr>
      <w:r w:rsidRPr="00BB532B">
        <w:rPr>
          <w:b/>
          <w:color w:val="auto"/>
        </w:rPr>
        <w:t>Регионално управление на образованието/Училище/Детска градина - ……………….</w:t>
      </w:r>
      <w:r w:rsidRPr="00BB532B">
        <w:rPr>
          <w:color w:val="auto"/>
        </w:rPr>
        <w:t xml:space="preserve"> , адрес: гр. ……….……., ул. …………….., </w:t>
      </w:r>
      <w:r w:rsidRPr="00BB532B">
        <w:t>БУЛСТАТ</w:t>
      </w:r>
      <w:r w:rsidRPr="00BB532B">
        <w:rPr>
          <w:lang w:eastAsia="bg-BG"/>
        </w:rPr>
        <w:t xml:space="preserve">/ЕИК……………………., </w:t>
      </w:r>
      <w:r w:rsidRPr="00BB532B">
        <w:rPr>
          <w:color w:val="auto"/>
        </w:rPr>
        <w:t xml:space="preserve">представлявано от ………………………, в качеството й/му на началник/директор, и …………… - главен счетоводител, наричани  за краткост </w:t>
      </w:r>
      <w:r w:rsidRPr="00BB532B">
        <w:rPr>
          <w:b/>
          <w:color w:val="auto"/>
        </w:rPr>
        <w:t>ВЪЗЛОЖИТЕЛ</w:t>
      </w:r>
      <w:r w:rsidRPr="00BB532B">
        <w:rPr>
          <w:color w:val="auto"/>
        </w:rPr>
        <w:t>, от една страна и от друга страна и</w:t>
      </w:r>
      <w:r w:rsidRPr="00BB532B">
        <w:rPr>
          <w:color w:val="auto"/>
        </w:rPr>
        <w:tab/>
      </w:r>
      <w:r w:rsidRPr="00BB532B">
        <w:rPr>
          <w:color w:val="auto"/>
        </w:rPr>
        <w:tab/>
      </w:r>
    </w:p>
    <w:p w:rsidR="0049550E" w:rsidRPr="00BB532B" w:rsidRDefault="0049550E" w:rsidP="00BB532B">
      <w:pPr>
        <w:pStyle w:val="BodyTextIndent"/>
        <w:numPr>
          <w:ilvl w:val="0"/>
          <w:numId w:val="3"/>
        </w:numPr>
        <w:spacing w:after="120" w:line="276" w:lineRule="auto"/>
        <w:ind w:left="0" w:firstLine="708"/>
        <w:rPr>
          <w:sz w:val="24"/>
          <w:szCs w:val="24"/>
        </w:rPr>
      </w:pPr>
      <w:r w:rsidRPr="00BB532B">
        <w:rPr>
          <w:b w:val="0"/>
          <w:sz w:val="24"/>
          <w:szCs w:val="24"/>
        </w:rPr>
        <w:t>…………………. (за обучителни организации) …………………. със седалище и адрес на управление: ………………., БУЛСТАТ</w:t>
      </w:r>
      <w:r w:rsidRPr="00BB532B">
        <w:rPr>
          <w:b w:val="0"/>
          <w:sz w:val="24"/>
          <w:szCs w:val="24"/>
          <w:lang w:eastAsia="bg-BG"/>
        </w:rPr>
        <w:t xml:space="preserve">/ЕИК……………………., </w:t>
      </w:r>
      <w:r w:rsidRPr="00BB532B">
        <w:rPr>
          <w:b w:val="0"/>
          <w:sz w:val="24"/>
          <w:szCs w:val="24"/>
        </w:rPr>
        <w:t>вписано в Информационния регистър на одобрените програми за повишаване на квалификацията на педагогическите специалисти по чл. 229 от Закона за предучилищното и училищното образование под № ………….….,</w:t>
      </w:r>
      <w:r w:rsidRPr="00BB532B">
        <w:rPr>
          <w:sz w:val="24"/>
          <w:szCs w:val="24"/>
        </w:rPr>
        <w:t xml:space="preserve"> </w:t>
      </w:r>
      <w:r w:rsidRPr="00BB532B">
        <w:rPr>
          <w:b w:val="0"/>
          <w:sz w:val="24"/>
          <w:szCs w:val="24"/>
        </w:rPr>
        <w:t xml:space="preserve">представлявано от ……………………………...……, в качеството й/му на …………………………, и …………… - </w:t>
      </w:r>
      <w:r w:rsidRPr="00BB532B">
        <w:rPr>
          <w:b w:val="0"/>
          <w:color w:val="000000" w:themeColor="text1"/>
          <w:sz w:val="24"/>
          <w:szCs w:val="24"/>
        </w:rPr>
        <w:t xml:space="preserve">главен счетоводител, </w:t>
      </w:r>
      <w:r w:rsidRPr="00BB532B">
        <w:rPr>
          <w:b w:val="0"/>
          <w:sz w:val="24"/>
          <w:szCs w:val="24"/>
          <w:lang w:eastAsia="bg-BG"/>
        </w:rPr>
        <w:t xml:space="preserve">наричано за краткост </w:t>
      </w:r>
      <w:r w:rsidRPr="00BB532B">
        <w:rPr>
          <w:sz w:val="24"/>
          <w:szCs w:val="24"/>
          <w:lang w:eastAsia="bg-BG"/>
        </w:rPr>
        <w:t>ИЗПЪЛНИТЕЛ</w:t>
      </w:r>
      <w:r w:rsidRPr="00BB532B">
        <w:rPr>
          <w:b w:val="0"/>
          <w:sz w:val="24"/>
          <w:szCs w:val="24"/>
          <w:lang w:eastAsia="bg-BG"/>
        </w:rPr>
        <w:t xml:space="preserve">, </w:t>
      </w:r>
    </w:p>
    <w:p w:rsidR="0049550E" w:rsidRPr="00BB532B" w:rsidRDefault="0049550E" w:rsidP="00BB532B">
      <w:pPr>
        <w:pStyle w:val="BodyTextIndent"/>
        <w:spacing w:after="120" w:line="276" w:lineRule="auto"/>
        <w:ind w:left="0" w:firstLine="0"/>
        <w:rPr>
          <w:b w:val="0"/>
          <w:sz w:val="24"/>
          <w:szCs w:val="24"/>
          <w:lang w:eastAsia="bg-BG"/>
        </w:rPr>
      </w:pPr>
      <w:r w:rsidRPr="00BB532B">
        <w:rPr>
          <w:b w:val="0"/>
          <w:sz w:val="24"/>
          <w:szCs w:val="24"/>
          <w:lang w:eastAsia="bg-BG"/>
        </w:rPr>
        <w:t xml:space="preserve">или </w:t>
      </w:r>
    </w:p>
    <w:p w:rsidR="0049550E" w:rsidRPr="00BB532B" w:rsidRDefault="0049550E" w:rsidP="00BB532B">
      <w:pPr>
        <w:pStyle w:val="BodyTextIndent"/>
        <w:spacing w:after="120" w:line="276" w:lineRule="auto"/>
        <w:ind w:left="0" w:firstLine="0"/>
        <w:rPr>
          <w:sz w:val="24"/>
          <w:szCs w:val="24"/>
        </w:rPr>
      </w:pPr>
      <w:r w:rsidRPr="00BB532B">
        <w:rPr>
          <w:b w:val="0"/>
          <w:sz w:val="24"/>
          <w:szCs w:val="24"/>
          <w:lang w:eastAsia="bg-BG"/>
        </w:rPr>
        <w:tab/>
      </w:r>
      <w:r w:rsidRPr="00BB532B">
        <w:rPr>
          <w:b w:val="0"/>
          <w:sz w:val="24"/>
          <w:szCs w:val="24"/>
          <w:lang w:eastAsia="bg-BG"/>
        </w:rPr>
        <w:tab/>
        <w:t xml:space="preserve">……………………….……….(за специализирани обслужващи звена; висши училища; научни организации)……………….…………………, </w:t>
      </w:r>
      <w:r w:rsidRPr="00BB532B">
        <w:rPr>
          <w:b w:val="0"/>
          <w:sz w:val="24"/>
          <w:szCs w:val="24"/>
          <w:lang w:eastAsia="bg-BG"/>
        </w:rPr>
        <w:lastRenderedPageBreak/>
        <w:t xml:space="preserve">със седалище и адрес на управление………………………., БУЛСТАТ/ЕИК……………………., представляван от …………………………, в качеството й/му на ……………………., и…………… -главен счетоводител, наричани за краткост </w:t>
      </w:r>
      <w:r w:rsidRPr="00BB532B">
        <w:rPr>
          <w:sz w:val="24"/>
          <w:szCs w:val="24"/>
          <w:lang w:eastAsia="bg-BG"/>
        </w:rPr>
        <w:t>ИЗПЪЛНИТЕЛ</w:t>
      </w:r>
      <w:r w:rsidRPr="00BB532B">
        <w:rPr>
          <w:b w:val="0"/>
          <w:sz w:val="24"/>
          <w:szCs w:val="24"/>
          <w:lang w:eastAsia="bg-BG"/>
        </w:rPr>
        <w:t>,</w:t>
      </w:r>
    </w:p>
    <w:p w:rsidR="0049550E" w:rsidRPr="00BB532B" w:rsidRDefault="0049550E" w:rsidP="00BB532B">
      <w:pPr>
        <w:pStyle w:val="Default"/>
        <w:spacing w:after="120" w:line="276" w:lineRule="auto"/>
      </w:pPr>
    </w:p>
    <w:p w:rsidR="0049550E" w:rsidRPr="00BB532B" w:rsidRDefault="0049550E" w:rsidP="00BB532B">
      <w:pPr>
        <w:pStyle w:val="Default"/>
        <w:spacing w:after="120" w:line="276" w:lineRule="auto"/>
        <w:rPr>
          <w:b/>
        </w:rPr>
      </w:pPr>
      <w:r w:rsidRPr="00BB532B">
        <w:rPr>
          <w:b/>
        </w:rPr>
        <w:t>се сключи настоящият АНЕКС, с който страните се споразумяха за следните изменения в договор № …………………/………………… г.:</w:t>
      </w:r>
    </w:p>
    <w:p w:rsidR="0049550E" w:rsidRPr="00BB532B" w:rsidRDefault="0049550E" w:rsidP="00BB532B">
      <w:pPr>
        <w:pStyle w:val="Default"/>
        <w:spacing w:after="120" w:line="276" w:lineRule="auto"/>
        <w:rPr>
          <w:b/>
        </w:rPr>
      </w:pPr>
    </w:p>
    <w:p w:rsidR="0049550E" w:rsidRPr="00BB532B" w:rsidRDefault="0049550E" w:rsidP="00BB532B">
      <w:pPr>
        <w:pStyle w:val="Default"/>
        <w:spacing w:after="120" w:line="276" w:lineRule="auto"/>
      </w:pPr>
      <w:r w:rsidRPr="00BB532B">
        <w:rPr>
          <w:b/>
        </w:rPr>
        <w:t>I.</w:t>
      </w:r>
      <w:r w:rsidRPr="00BB532B">
        <w:t xml:space="preserve"> Чл. 3 от договора придобива следната редакция:</w:t>
      </w:r>
    </w:p>
    <w:p w:rsidR="0049550E" w:rsidRPr="00BB532B" w:rsidRDefault="0049550E" w:rsidP="00BB532B">
      <w:pPr>
        <w:pStyle w:val="Default"/>
        <w:spacing w:after="120" w:line="276" w:lineRule="auto"/>
        <w:ind w:firstLine="708"/>
        <w:jc w:val="both"/>
        <w:rPr>
          <w:color w:val="auto"/>
        </w:rPr>
      </w:pPr>
      <w:r w:rsidRPr="00BB532B">
        <w:rPr>
          <w:color w:val="auto"/>
        </w:rPr>
        <w:t>„</w:t>
      </w:r>
      <w:r w:rsidRPr="00BB532B">
        <w:rPr>
          <w:b/>
          <w:color w:val="auto"/>
        </w:rPr>
        <w:t>Чл. 3.</w:t>
      </w:r>
      <w:r w:rsidRPr="00BB532B">
        <w:rPr>
          <w:color w:val="auto"/>
        </w:rPr>
        <w:t xml:space="preserve"> Цената на услугата по чл. 2, ал. 1 се формира като произведение от броя на обучаемите лица и единичната цена за един обучаем според вида на обучението по чл. 1, ал. 2, посочена в таблицата по-долу:</w:t>
      </w:r>
    </w:p>
    <w:tbl>
      <w:tblPr>
        <w:tblStyle w:val="TableGrid"/>
        <w:tblW w:w="10060" w:type="dxa"/>
        <w:tblLook w:val="04A0" w:firstRow="1" w:lastRow="0" w:firstColumn="1" w:lastColumn="0" w:noHBand="0" w:noVBand="1"/>
      </w:tblPr>
      <w:tblGrid>
        <w:gridCol w:w="4815"/>
        <w:gridCol w:w="2693"/>
        <w:gridCol w:w="2552"/>
      </w:tblGrid>
      <w:tr w:rsidR="0049550E" w:rsidRPr="00BB532B" w:rsidTr="00BB532B">
        <w:tc>
          <w:tcPr>
            <w:tcW w:w="4815" w:type="dxa"/>
            <w:shd w:val="clear" w:color="auto" w:fill="D9D9D9" w:themeFill="background1" w:themeFillShade="D9"/>
          </w:tcPr>
          <w:p w:rsidR="0049550E" w:rsidRPr="00BB532B" w:rsidRDefault="0049550E" w:rsidP="00BB532B">
            <w:pPr>
              <w:pStyle w:val="Default"/>
              <w:spacing w:after="120" w:line="276" w:lineRule="auto"/>
              <w:jc w:val="center"/>
              <w:rPr>
                <w:rFonts w:ascii="Times New Roman" w:hAnsi="Times New Roman"/>
                <w:b/>
                <w:color w:val="auto"/>
              </w:rPr>
            </w:pPr>
            <w:r w:rsidRPr="00BB532B">
              <w:rPr>
                <w:rFonts w:ascii="Times New Roman" w:hAnsi="Times New Roman"/>
                <w:b/>
                <w:color w:val="auto"/>
              </w:rPr>
              <w:t>Единичен разход по видове обучения за присъждане</w:t>
            </w:r>
            <w:r w:rsidRPr="00BB532B">
              <w:rPr>
                <w:rFonts w:ascii="Times New Roman" w:hAnsi="Times New Roman"/>
                <w:b/>
                <w:bCs/>
              </w:rPr>
              <w:t xml:space="preserve"> на квалификационен кредит</w:t>
            </w:r>
          </w:p>
        </w:tc>
        <w:tc>
          <w:tcPr>
            <w:tcW w:w="2693" w:type="dxa"/>
            <w:shd w:val="clear" w:color="auto" w:fill="D9D9D9" w:themeFill="background1" w:themeFillShade="D9"/>
          </w:tcPr>
          <w:p w:rsidR="0049550E" w:rsidRPr="00BB532B" w:rsidRDefault="0049550E" w:rsidP="00BB532B">
            <w:pPr>
              <w:pStyle w:val="Default"/>
              <w:spacing w:after="120" w:line="276" w:lineRule="auto"/>
              <w:jc w:val="center"/>
              <w:rPr>
                <w:rFonts w:ascii="Times New Roman" w:hAnsi="Times New Roman"/>
                <w:b/>
                <w:color w:val="auto"/>
              </w:rPr>
            </w:pPr>
            <w:r w:rsidRPr="00BB532B">
              <w:rPr>
                <w:rFonts w:ascii="Times New Roman" w:hAnsi="Times New Roman"/>
                <w:b/>
                <w:color w:val="auto"/>
              </w:rPr>
              <w:t>Единичен разход на 1 обучаем при физически присъствено обучение</w:t>
            </w:r>
          </w:p>
        </w:tc>
        <w:tc>
          <w:tcPr>
            <w:tcW w:w="2552" w:type="dxa"/>
            <w:shd w:val="clear" w:color="auto" w:fill="D9D9D9" w:themeFill="background1" w:themeFillShade="D9"/>
          </w:tcPr>
          <w:p w:rsidR="0049550E" w:rsidRPr="00BB532B" w:rsidRDefault="0049550E" w:rsidP="00BB532B">
            <w:pPr>
              <w:pStyle w:val="Default"/>
              <w:spacing w:after="120" w:line="276" w:lineRule="auto"/>
              <w:jc w:val="center"/>
              <w:rPr>
                <w:rFonts w:ascii="Times New Roman" w:hAnsi="Times New Roman"/>
                <w:b/>
                <w:color w:val="auto"/>
              </w:rPr>
            </w:pPr>
            <w:r w:rsidRPr="00BB532B">
              <w:rPr>
                <w:rFonts w:ascii="Times New Roman" w:hAnsi="Times New Roman"/>
                <w:b/>
                <w:color w:val="auto"/>
              </w:rPr>
              <w:t>Единичен разход на 1 обучаем при синхронно обучение от разстояние</w:t>
            </w:r>
          </w:p>
        </w:tc>
      </w:tr>
      <w:tr w:rsidR="0049550E" w:rsidRPr="00BB532B" w:rsidTr="00BB532B">
        <w:tc>
          <w:tcPr>
            <w:tcW w:w="4815" w:type="dxa"/>
          </w:tcPr>
          <w:p w:rsidR="0049550E" w:rsidRPr="00BB532B" w:rsidRDefault="0049550E" w:rsidP="00BB532B">
            <w:pPr>
              <w:pStyle w:val="Default"/>
              <w:spacing w:after="120" w:line="276" w:lineRule="auto"/>
              <w:rPr>
                <w:rFonts w:ascii="Times New Roman" w:hAnsi="Times New Roman"/>
                <w:b/>
                <w:color w:val="auto"/>
              </w:rPr>
            </w:pPr>
            <w:r w:rsidRPr="00BB532B">
              <w:rPr>
                <w:rFonts w:ascii="Times New Roman" w:hAnsi="Times New Roman"/>
              </w:rPr>
              <w:t>Краткосрочно обучение, за което се присъжда 1 квалификационен кредит с продължителност 16 академични часа</w:t>
            </w:r>
          </w:p>
        </w:tc>
        <w:tc>
          <w:tcPr>
            <w:tcW w:w="2693" w:type="dxa"/>
          </w:tcPr>
          <w:p w:rsidR="0049550E" w:rsidRPr="00BB532B" w:rsidRDefault="0049550E" w:rsidP="00BB532B">
            <w:pPr>
              <w:pStyle w:val="Default"/>
              <w:spacing w:after="120" w:line="276" w:lineRule="auto"/>
              <w:jc w:val="center"/>
              <w:rPr>
                <w:rFonts w:ascii="Times New Roman" w:hAnsi="Times New Roman"/>
                <w:b/>
                <w:color w:val="auto"/>
              </w:rPr>
            </w:pPr>
            <w:r w:rsidRPr="00BB532B">
              <w:rPr>
                <w:rFonts w:ascii="Times New Roman" w:hAnsi="Times New Roman"/>
              </w:rPr>
              <w:t>43,00</w:t>
            </w:r>
          </w:p>
        </w:tc>
        <w:tc>
          <w:tcPr>
            <w:tcW w:w="2552" w:type="dxa"/>
          </w:tcPr>
          <w:p w:rsidR="0049550E" w:rsidRPr="00BB532B" w:rsidRDefault="0049550E" w:rsidP="00BB532B">
            <w:pPr>
              <w:pStyle w:val="Default"/>
              <w:spacing w:after="120" w:line="276" w:lineRule="auto"/>
              <w:jc w:val="center"/>
              <w:rPr>
                <w:rFonts w:ascii="Times New Roman" w:hAnsi="Times New Roman"/>
              </w:rPr>
            </w:pPr>
            <w:r w:rsidRPr="00BB532B">
              <w:rPr>
                <w:rFonts w:ascii="Times New Roman" w:hAnsi="Times New Roman"/>
              </w:rPr>
              <w:t>27,00</w:t>
            </w:r>
          </w:p>
        </w:tc>
      </w:tr>
      <w:tr w:rsidR="0049550E" w:rsidRPr="00BB532B" w:rsidTr="00BB532B">
        <w:tc>
          <w:tcPr>
            <w:tcW w:w="4815" w:type="dxa"/>
          </w:tcPr>
          <w:p w:rsidR="0049550E" w:rsidRPr="00BB532B" w:rsidRDefault="0049550E" w:rsidP="00BB532B">
            <w:pPr>
              <w:pStyle w:val="Default"/>
              <w:spacing w:after="120" w:line="276" w:lineRule="auto"/>
              <w:rPr>
                <w:rFonts w:ascii="Times New Roman" w:hAnsi="Times New Roman"/>
                <w:b/>
                <w:color w:val="auto"/>
              </w:rPr>
            </w:pPr>
            <w:r w:rsidRPr="00BB532B">
              <w:rPr>
                <w:rFonts w:ascii="Times New Roman" w:hAnsi="Times New Roman"/>
              </w:rPr>
              <w:t>Краткосрочно обучение, за което се присъждат 2 квалификационни кредита с продължителност 32 академични часа</w:t>
            </w:r>
          </w:p>
        </w:tc>
        <w:tc>
          <w:tcPr>
            <w:tcW w:w="2693" w:type="dxa"/>
          </w:tcPr>
          <w:p w:rsidR="0049550E" w:rsidRPr="00BB532B" w:rsidRDefault="0049550E" w:rsidP="00BB532B">
            <w:pPr>
              <w:pStyle w:val="Default"/>
              <w:spacing w:after="120" w:line="276" w:lineRule="auto"/>
              <w:jc w:val="center"/>
              <w:rPr>
                <w:rFonts w:ascii="Times New Roman" w:hAnsi="Times New Roman"/>
                <w:b/>
                <w:color w:val="auto"/>
              </w:rPr>
            </w:pPr>
            <w:r w:rsidRPr="00BB532B">
              <w:rPr>
                <w:rFonts w:ascii="Times New Roman" w:hAnsi="Times New Roman"/>
              </w:rPr>
              <w:t>83,00</w:t>
            </w:r>
          </w:p>
        </w:tc>
        <w:tc>
          <w:tcPr>
            <w:tcW w:w="2552" w:type="dxa"/>
          </w:tcPr>
          <w:p w:rsidR="0049550E" w:rsidRPr="00BB532B" w:rsidRDefault="0049550E" w:rsidP="00BB532B">
            <w:pPr>
              <w:pStyle w:val="Default"/>
              <w:spacing w:after="120" w:line="276" w:lineRule="auto"/>
              <w:jc w:val="center"/>
              <w:rPr>
                <w:rFonts w:ascii="Times New Roman" w:hAnsi="Times New Roman"/>
              </w:rPr>
            </w:pPr>
            <w:r w:rsidRPr="00BB532B">
              <w:rPr>
                <w:rFonts w:ascii="Times New Roman" w:hAnsi="Times New Roman"/>
              </w:rPr>
              <w:t>54,00</w:t>
            </w:r>
          </w:p>
        </w:tc>
      </w:tr>
      <w:tr w:rsidR="0049550E" w:rsidRPr="00BB532B" w:rsidTr="00BB532B">
        <w:tc>
          <w:tcPr>
            <w:tcW w:w="4815" w:type="dxa"/>
          </w:tcPr>
          <w:p w:rsidR="0049550E" w:rsidRPr="00BB532B" w:rsidRDefault="0049550E" w:rsidP="00BB532B">
            <w:pPr>
              <w:pStyle w:val="Default"/>
              <w:spacing w:after="120" w:line="276" w:lineRule="auto"/>
              <w:rPr>
                <w:rFonts w:ascii="Times New Roman" w:hAnsi="Times New Roman"/>
                <w:b/>
                <w:color w:val="auto"/>
              </w:rPr>
            </w:pPr>
            <w:r w:rsidRPr="00BB532B">
              <w:rPr>
                <w:rFonts w:ascii="Times New Roman" w:hAnsi="Times New Roman"/>
              </w:rPr>
              <w:t>Краткосрочно обучение, за което се присъждат 2 квалификационни кредита с продължителност 32 академични часа, включващо и логистика</w:t>
            </w:r>
          </w:p>
        </w:tc>
        <w:tc>
          <w:tcPr>
            <w:tcW w:w="2693" w:type="dxa"/>
          </w:tcPr>
          <w:p w:rsidR="0049550E" w:rsidRPr="00BB532B" w:rsidRDefault="0049550E" w:rsidP="00BB532B">
            <w:pPr>
              <w:pStyle w:val="Default"/>
              <w:spacing w:after="120" w:line="276" w:lineRule="auto"/>
              <w:jc w:val="center"/>
              <w:rPr>
                <w:rFonts w:ascii="Times New Roman" w:hAnsi="Times New Roman"/>
                <w:b/>
                <w:color w:val="auto"/>
              </w:rPr>
            </w:pPr>
            <w:r w:rsidRPr="00BB532B">
              <w:rPr>
                <w:rFonts w:ascii="Times New Roman" w:hAnsi="Times New Roman"/>
              </w:rPr>
              <w:t>301,00</w:t>
            </w:r>
          </w:p>
        </w:tc>
        <w:tc>
          <w:tcPr>
            <w:tcW w:w="2552" w:type="dxa"/>
          </w:tcPr>
          <w:p w:rsidR="0049550E" w:rsidRPr="00BB532B" w:rsidRDefault="0049550E" w:rsidP="00BB532B">
            <w:pPr>
              <w:pStyle w:val="Default"/>
              <w:spacing w:after="120" w:line="276" w:lineRule="auto"/>
              <w:jc w:val="center"/>
              <w:rPr>
                <w:rFonts w:ascii="Times New Roman" w:hAnsi="Times New Roman"/>
              </w:rPr>
            </w:pPr>
            <w:r w:rsidRPr="00BB532B">
              <w:rPr>
                <w:rFonts w:ascii="Times New Roman" w:hAnsi="Times New Roman"/>
              </w:rPr>
              <w:t>-</w:t>
            </w:r>
          </w:p>
        </w:tc>
      </w:tr>
      <w:tr w:rsidR="0049550E" w:rsidRPr="00BB532B" w:rsidTr="00BB532B">
        <w:tc>
          <w:tcPr>
            <w:tcW w:w="4815" w:type="dxa"/>
          </w:tcPr>
          <w:p w:rsidR="0049550E" w:rsidRPr="00BB532B" w:rsidRDefault="0049550E" w:rsidP="00BB532B">
            <w:pPr>
              <w:pStyle w:val="Default"/>
              <w:spacing w:after="120" w:line="276" w:lineRule="auto"/>
              <w:rPr>
                <w:rFonts w:ascii="Times New Roman" w:hAnsi="Times New Roman"/>
                <w:b/>
                <w:color w:val="auto"/>
              </w:rPr>
            </w:pPr>
            <w:r w:rsidRPr="00BB532B">
              <w:rPr>
                <w:rFonts w:ascii="Times New Roman" w:hAnsi="Times New Roman"/>
              </w:rPr>
              <w:t>Краткосрочно обучение, за което се присъждат 3 квалификационни кредита с продължителност 48 академични часа</w:t>
            </w:r>
          </w:p>
        </w:tc>
        <w:tc>
          <w:tcPr>
            <w:tcW w:w="2693" w:type="dxa"/>
          </w:tcPr>
          <w:p w:rsidR="0049550E" w:rsidRPr="00BB532B" w:rsidRDefault="0049550E" w:rsidP="00BB532B">
            <w:pPr>
              <w:pStyle w:val="Default"/>
              <w:spacing w:after="120" w:line="276" w:lineRule="auto"/>
              <w:jc w:val="center"/>
              <w:rPr>
                <w:rFonts w:ascii="Times New Roman" w:hAnsi="Times New Roman"/>
                <w:b/>
                <w:color w:val="auto"/>
              </w:rPr>
            </w:pPr>
            <w:r w:rsidRPr="00BB532B">
              <w:rPr>
                <w:rFonts w:ascii="Times New Roman" w:hAnsi="Times New Roman"/>
              </w:rPr>
              <w:t>120,00</w:t>
            </w:r>
          </w:p>
        </w:tc>
        <w:tc>
          <w:tcPr>
            <w:tcW w:w="2552" w:type="dxa"/>
          </w:tcPr>
          <w:p w:rsidR="0049550E" w:rsidRPr="00BB532B" w:rsidRDefault="0049550E" w:rsidP="00BB532B">
            <w:pPr>
              <w:pStyle w:val="Default"/>
              <w:spacing w:after="120" w:line="276" w:lineRule="auto"/>
              <w:jc w:val="center"/>
              <w:rPr>
                <w:rFonts w:ascii="Times New Roman" w:hAnsi="Times New Roman"/>
              </w:rPr>
            </w:pPr>
            <w:r w:rsidRPr="00BB532B">
              <w:rPr>
                <w:rFonts w:ascii="Times New Roman" w:hAnsi="Times New Roman"/>
              </w:rPr>
              <w:t>80,00</w:t>
            </w:r>
          </w:p>
        </w:tc>
      </w:tr>
      <w:tr w:rsidR="0049550E" w:rsidRPr="00BB532B" w:rsidTr="00BB532B">
        <w:tc>
          <w:tcPr>
            <w:tcW w:w="4815" w:type="dxa"/>
          </w:tcPr>
          <w:p w:rsidR="0049550E" w:rsidRPr="00BB532B" w:rsidRDefault="0049550E" w:rsidP="00BB532B">
            <w:pPr>
              <w:pStyle w:val="Default"/>
              <w:spacing w:after="120" w:line="276" w:lineRule="auto"/>
              <w:rPr>
                <w:rFonts w:ascii="Times New Roman" w:hAnsi="Times New Roman"/>
                <w:b/>
                <w:color w:val="auto"/>
              </w:rPr>
            </w:pPr>
            <w:r w:rsidRPr="00BB532B">
              <w:rPr>
                <w:rFonts w:ascii="Times New Roman" w:hAnsi="Times New Roman"/>
              </w:rPr>
              <w:t>Краткосрочно обучение, за което се присъждат 3 квалификационни кредита с продължителност 48 академични часа, включващо и логистика</w:t>
            </w:r>
          </w:p>
        </w:tc>
        <w:tc>
          <w:tcPr>
            <w:tcW w:w="2693" w:type="dxa"/>
          </w:tcPr>
          <w:p w:rsidR="0049550E" w:rsidRPr="00BB532B" w:rsidRDefault="0049550E" w:rsidP="00BB532B">
            <w:pPr>
              <w:pStyle w:val="Default"/>
              <w:spacing w:after="120" w:line="276" w:lineRule="auto"/>
              <w:jc w:val="center"/>
              <w:rPr>
                <w:rFonts w:ascii="Times New Roman" w:hAnsi="Times New Roman"/>
                <w:b/>
                <w:color w:val="auto"/>
              </w:rPr>
            </w:pPr>
            <w:r w:rsidRPr="00BB532B">
              <w:rPr>
                <w:rFonts w:ascii="Times New Roman" w:hAnsi="Times New Roman"/>
              </w:rPr>
              <w:t>424,00</w:t>
            </w:r>
          </w:p>
        </w:tc>
        <w:tc>
          <w:tcPr>
            <w:tcW w:w="2552" w:type="dxa"/>
          </w:tcPr>
          <w:p w:rsidR="0049550E" w:rsidRPr="00BB532B" w:rsidRDefault="0049550E" w:rsidP="00BB532B">
            <w:pPr>
              <w:pStyle w:val="Default"/>
              <w:spacing w:after="120" w:line="276" w:lineRule="auto"/>
              <w:jc w:val="center"/>
              <w:rPr>
                <w:rFonts w:ascii="Times New Roman" w:hAnsi="Times New Roman"/>
              </w:rPr>
            </w:pPr>
            <w:r w:rsidRPr="00BB532B">
              <w:rPr>
                <w:rFonts w:ascii="Times New Roman" w:hAnsi="Times New Roman"/>
              </w:rPr>
              <w:t>-</w:t>
            </w:r>
          </w:p>
        </w:tc>
      </w:tr>
    </w:tbl>
    <w:p w:rsidR="0049550E" w:rsidRPr="00BB532B" w:rsidRDefault="0049550E" w:rsidP="00BB532B">
      <w:pPr>
        <w:pStyle w:val="Default"/>
        <w:spacing w:after="120" w:line="276" w:lineRule="auto"/>
      </w:pPr>
    </w:p>
    <w:p w:rsidR="0049550E" w:rsidRPr="00BB532B" w:rsidRDefault="0049550E" w:rsidP="00BB532B">
      <w:pPr>
        <w:pStyle w:val="Default"/>
        <w:spacing w:after="120" w:line="276" w:lineRule="auto"/>
      </w:pPr>
      <w:r w:rsidRPr="00BB532B">
        <w:rPr>
          <w:b/>
        </w:rPr>
        <w:lastRenderedPageBreak/>
        <w:t>II.</w:t>
      </w:r>
      <w:r w:rsidRPr="00BB532B">
        <w:t xml:space="preserve"> В Приложение 1 „Техническо задание“ се правят следните изменения:</w:t>
      </w:r>
    </w:p>
    <w:p w:rsidR="0049550E" w:rsidRPr="00BB532B" w:rsidRDefault="0049550E" w:rsidP="00BB532B">
      <w:pPr>
        <w:pStyle w:val="Default"/>
        <w:numPr>
          <w:ilvl w:val="0"/>
          <w:numId w:val="4"/>
        </w:numPr>
        <w:spacing w:after="120" w:line="276" w:lineRule="auto"/>
      </w:pPr>
      <w:r w:rsidRPr="00BB532B">
        <w:t>Точка II. Начин на формиране на стойността на обученията се изменя, както следва:</w:t>
      </w:r>
    </w:p>
    <w:p w:rsidR="0049550E" w:rsidRPr="00BB532B" w:rsidRDefault="0049550E" w:rsidP="00BB532B">
      <w:pPr>
        <w:spacing w:after="120" w:line="276" w:lineRule="auto"/>
        <w:ind w:firstLine="567"/>
        <w:jc w:val="both"/>
        <w:rPr>
          <w:b/>
        </w:rPr>
      </w:pPr>
      <w:r w:rsidRPr="00BB532B">
        <w:t>„</w:t>
      </w:r>
      <w:r w:rsidRPr="00BB532B">
        <w:rPr>
          <w:b/>
        </w:rPr>
        <w:t>II. Начин на формиране на стойността на обученията:</w:t>
      </w:r>
    </w:p>
    <w:p w:rsidR="0049550E" w:rsidRPr="00BB532B" w:rsidRDefault="0049550E" w:rsidP="00BB532B">
      <w:pPr>
        <w:spacing w:after="120" w:line="276" w:lineRule="auto"/>
        <w:ind w:firstLine="567"/>
        <w:jc w:val="both"/>
      </w:pPr>
      <w:r w:rsidRPr="00BB532B">
        <w:t xml:space="preserve">Стойността на едно обучение се формира въз основа общия брой обучени лица по единичния разход, определен за един обучаем. Отчитането на обучението се извършва само за успешно преминалите курса на обучение лица. Всеки успешно обучен педагогически специалист получава удостоверение, с което му се присъждат от 1 до 3 квалификационни кредита, съгласно държавния образователен стандарт за статута и професионалното развитие на учителите, директорите и другите педагогически специалисти. </w:t>
      </w:r>
    </w:p>
    <w:p w:rsidR="0049550E" w:rsidRPr="00BB532B" w:rsidRDefault="0049550E" w:rsidP="00BB532B">
      <w:pPr>
        <w:spacing w:after="120" w:line="276" w:lineRule="auto"/>
        <w:ind w:firstLine="567"/>
        <w:jc w:val="both"/>
      </w:pPr>
      <w:r w:rsidRPr="00BB532B">
        <w:t>Единичният разход се определя по видове обучения за присъждане на квалификационен кредит за един успешно обучен педагогически специалист на база стандартна таблица на единичните разходи, както следва:</w:t>
      </w:r>
    </w:p>
    <w:p w:rsidR="0049550E" w:rsidRPr="00BB532B" w:rsidRDefault="0049550E" w:rsidP="00BB532B">
      <w:pPr>
        <w:pStyle w:val="ListParagraph"/>
        <w:numPr>
          <w:ilvl w:val="0"/>
          <w:numId w:val="5"/>
        </w:numPr>
        <w:spacing w:after="120"/>
        <w:ind w:left="851" w:hanging="284"/>
        <w:jc w:val="both"/>
        <w:rPr>
          <w:rFonts w:ascii="Times New Roman" w:hAnsi="Times New Roman"/>
          <w:b/>
          <w:sz w:val="24"/>
          <w:szCs w:val="24"/>
          <w:lang w:val="bg-BG"/>
        </w:rPr>
      </w:pPr>
      <w:r w:rsidRPr="00BB532B">
        <w:rPr>
          <w:rFonts w:ascii="Times New Roman" w:hAnsi="Times New Roman"/>
          <w:b/>
          <w:sz w:val="24"/>
          <w:szCs w:val="24"/>
          <w:lang w:val="bg-BG"/>
        </w:rPr>
        <w:t>Обучение на 1 педагогически специалист, за което е присъден 1 квалификационен кредит:</w:t>
      </w:r>
    </w:p>
    <w:p w:rsidR="0049550E" w:rsidRPr="00BB532B" w:rsidRDefault="0049550E" w:rsidP="00BB532B">
      <w:pPr>
        <w:spacing w:after="120" w:line="276" w:lineRule="auto"/>
        <w:ind w:firstLine="567"/>
        <w:jc w:val="both"/>
      </w:pPr>
      <w:r w:rsidRPr="00BB532B">
        <w:t>- Единичен разход на 1 обучаем при физически присъствено обучение – 43.00 лв., включващ: наем на зала; материали и пособия; възнаграждение на лектора за 16 академични часа; дневни, пътни и квартирни на лектора; дневни и пътни на обучаем.</w:t>
      </w:r>
    </w:p>
    <w:p w:rsidR="0049550E" w:rsidRPr="00BB532B" w:rsidRDefault="0049550E" w:rsidP="00BB532B">
      <w:pPr>
        <w:spacing w:after="120" w:line="276" w:lineRule="auto"/>
        <w:ind w:firstLine="567"/>
        <w:jc w:val="both"/>
      </w:pPr>
      <w:r w:rsidRPr="00BB532B">
        <w:t xml:space="preserve">- Единичен разход на 1 обучаем при синхронно обучение от разстояние – 27.00 лв., включващ: възнаграждение на лектора (неприсъствено)  - 8 часа и възнаграждение на лектора (синхронно обучение) – 8 часа. </w:t>
      </w:r>
    </w:p>
    <w:p w:rsidR="0049550E" w:rsidRPr="00BB532B" w:rsidRDefault="0049550E" w:rsidP="00BB532B">
      <w:pPr>
        <w:pStyle w:val="ListParagraph"/>
        <w:numPr>
          <w:ilvl w:val="0"/>
          <w:numId w:val="5"/>
        </w:numPr>
        <w:spacing w:after="120"/>
        <w:ind w:left="851" w:hanging="284"/>
        <w:jc w:val="both"/>
        <w:rPr>
          <w:rFonts w:ascii="Times New Roman" w:hAnsi="Times New Roman"/>
          <w:b/>
          <w:sz w:val="24"/>
          <w:szCs w:val="24"/>
          <w:lang w:val="bg-BG"/>
        </w:rPr>
      </w:pPr>
      <w:r w:rsidRPr="00BB532B">
        <w:rPr>
          <w:rFonts w:ascii="Times New Roman" w:hAnsi="Times New Roman"/>
          <w:b/>
          <w:sz w:val="24"/>
          <w:szCs w:val="24"/>
          <w:lang w:val="bg-BG"/>
        </w:rPr>
        <w:t>Обучение на 1 педагогически специалист, за което са присъдени 2 квалификационни кредита:</w:t>
      </w:r>
    </w:p>
    <w:p w:rsidR="0049550E" w:rsidRPr="00BB532B" w:rsidRDefault="0049550E" w:rsidP="00BB532B">
      <w:pPr>
        <w:pStyle w:val="ListParagraph"/>
        <w:numPr>
          <w:ilvl w:val="0"/>
          <w:numId w:val="6"/>
        </w:numPr>
        <w:spacing w:after="120"/>
        <w:ind w:left="0" w:firstLine="567"/>
        <w:jc w:val="both"/>
        <w:rPr>
          <w:rFonts w:ascii="Times New Roman" w:hAnsi="Times New Roman"/>
          <w:sz w:val="24"/>
          <w:szCs w:val="24"/>
          <w:lang w:val="bg-BG"/>
        </w:rPr>
      </w:pPr>
      <w:r w:rsidRPr="00BB532B">
        <w:rPr>
          <w:rFonts w:ascii="Times New Roman" w:hAnsi="Times New Roman"/>
          <w:sz w:val="24"/>
          <w:szCs w:val="24"/>
          <w:lang w:val="bg-BG"/>
        </w:rPr>
        <w:lastRenderedPageBreak/>
        <w:t>Единичен разход на 1 обучаем при физически присъствено обучение – 83.00 лв., включващ: наем на зала; материали и пособия; възнаграждение на лектора за 32 академични часа; дневни, пътни и квартирни на лектора; дневни и пътни на обучаем;</w:t>
      </w:r>
    </w:p>
    <w:p w:rsidR="0049550E" w:rsidRPr="00BB532B" w:rsidRDefault="0049550E" w:rsidP="00BB532B">
      <w:pPr>
        <w:pStyle w:val="ListParagraph"/>
        <w:numPr>
          <w:ilvl w:val="0"/>
          <w:numId w:val="6"/>
        </w:numPr>
        <w:spacing w:after="120"/>
        <w:ind w:left="0" w:firstLine="567"/>
        <w:jc w:val="both"/>
        <w:rPr>
          <w:rFonts w:ascii="Times New Roman" w:hAnsi="Times New Roman"/>
          <w:sz w:val="24"/>
          <w:szCs w:val="24"/>
          <w:lang w:val="bg-BG"/>
        </w:rPr>
      </w:pPr>
      <w:r w:rsidRPr="00BB532B">
        <w:rPr>
          <w:rFonts w:ascii="Times New Roman" w:hAnsi="Times New Roman"/>
          <w:sz w:val="24"/>
          <w:szCs w:val="24"/>
          <w:lang w:val="bg-BG"/>
        </w:rPr>
        <w:t xml:space="preserve">Единичен разход на 1 обучаем при синхронно обучение от разстояние – 54.00 лв., включващ: възнаграждение на лектора (неприсъствено)  -16 часа и възнаграждение на лектора (синхронно обучение) – 16 часа.  </w:t>
      </w:r>
    </w:p>
    <w:p w:rsidR="0049550E" w:rsidRPr="00BB532B" w:rsidRDefault="0049550E" w:rsidP="00BB532B">
      <w:pPr>
        <w:pStyle w:val="ListParagraph"/>
        <w:numPr>
          <w:ilvl w:val="0"/>
          <w:numId w:val="6"/>
        </w:numPr>
        <w:spacing w:after="120"/>
        <w:ind w:left="0" w:firstLine="567"/>
        <w:jc w:val="both"/>
        <w:rPr>
          <w:rFonts w:ascii="Times New Roman" w:hAnsi="Times New Roman"/>
          <w:sz w:val="24"/>
          <w:szCs w:val="24"/>
          <w:lang w:val="bg-BG"/>
        </w:rPr>
      </w:pPr>
      <w:r w:rsidRPr="00BB532B">
        <w:rPr>
          <w:rFonts w:ascii="Times New Roman" w:hAnsi="Times New Roman"/>
          <w:sz w:val="24"/>
          <w:szCs w:val="24"/>
          <w:lang w:val="bg-BG"/>
        </w:rPr>
        <w:t>Единичен разход за обучение с логистика - 301.00 лв., включващ: материали и пособия; възнаграждение на лектора за 32 академични часа; дневни, пътни и квартирни на лектора; дневни, пътни и квартирни на обучаем.</w:t>
      </w:r>
    </w:p>
    <w:p w:rsidR="0049550E" w:rsidRPr="00BB532B" w:rsidRDefault="0049550E" w:rsidP="00BB532B">
      <w:pPr>
        <w:numPr>
          <w:ilvl w:val="0"/>
          <w:numId w:val="5"/>
        </w:numPr>
        <w:spacing w:after="120" w:line="276" w:lineRule="auto"/>
        <w:ind w:left="851" w:hanging="284"/>
        <w:jc w:val="both"/>
        <w:rPr>
          <w:b/>
        </w:rPr>
      </w:pPr>
      <w:r w:rsidRPr="00BB532B">
        <w:rPr>
          <w:b/>
        </w:rPr>
        <w:t>Обучение на 1 педагогически специалист, за което са присъдени 3 квалификационни кредита:</w:t>
      </w:r>
    </w:p>
    <w:p w:rsidR="0049550E" w:rsidRPr="00BB532B" w:rsidRDefault="0049550E" w:rsidP="00BB532B">
      <w:pPr>
        <w:pStyle w:val="ListParagraph"/>
        <w:numPr>
          <w:ilvl w:val="0"/>
          <w:numId w:val="6"/>
        </w:numPr>
        <w:spacing w:after="120"/>
        <w:ind w:left="0" w:firstLine="567"/>
        <w:jc w:val="both"/>
        <w:rPr>
          <w:rFonts w:ascii="Times New Roman" w:hAnsi="Times New Roman"/>
          <w:sz w:val="24"/>
          <w:szCs w:val="24"/>
          <w:lang w:val="bg-BG"/>
        </w:rPr>
      </w:pPr>
      <w:r w:rsidRPr="00BB532B">
        <w:rPr>
          <w:rFonts w:ascii="Times New Roman" w:hAnsi="Times New Roman"/>
          <w:sz w:val="24"/>
          <w:szCs w:val="24"/>
          <w:lang w:val="bg-BG"/>
        </w:rPr>
        <w:t>Единичен разход на 1 обучаем при физически присъствено обучение – 120.00 лв., включващ: наем на зала; материали и пособия; възнаграждение на лектора за 48 академични часа; дневни, пътни и квартирни на лектора; дневни и пътни на обучаем;</w:t>
      </w:r>
    </w:p>
    <w:p w:rsidR="0049550E" w:rsidRPr="00BB532B" w:rsidRDefault="0049550E" w:rsidP="00BB532B">
      <w:pPr>
        <w:pStyle w:val="ListParagraph"/>
        <w:numPr>
          <w:ilvl w:val="0"/>
          <w:numId w:val="6"/>
        </w:numPr>
        <w:spacing w:after="120"/>
        <w:ind w:left="0" w:firstLine="567"/>
        <w:jc w:val="both"/>
        <w:rPr>
          <w:rFonts w:ascii="Times New Roman" w:hAnsi="Times New Roman"/>
          <w:sz w:val="24"/>
          <w:szCs w:val="24"/>
          <w:lang w:val="bg-BG"/>
        </w:rPr>
      </w:pPr>
      <w:r w:rsidRPr="00BB532B">
        <w:rPr>
          <w:rFonts w:ascii="Times New Roman" w:hAnsi="Times New Roman"/>
          <w:sz w:val="24"/>
          <w:szCs w:val="24"/>
          <w:lang w:val="bg-BG"/>
        </w:rPr>
        <w:t xml:space="preserve">Единичен разход на 1 обучаем при синхронно обучение от разстояние – 80.00 лв., включващ: възнаграждение на лектора (неприсъствено)  - 24 часа и възнаграждение на лектора (синхронно обучение) – 24 часа.   </w:t>
      </w:r>
    </w:p>
    <w:p w:rsidR="0049550E" w:rsidRPr="00BB532B" w:rsidRDefault="0049550E" w:rsidP="00BB532B">
      <w:pPr>
        <w:pStyle w:val="ListParagraph"/>
        <w:numPr>
          <w:ilvl w:val="0"/>
          <w:numId w:val="6"/>
        </w:numPr>
        <w:spacing w:after="120"/>
        <w:ind w:left="0" w:firstLine="567"/>
        <w:jc w:val="both"/>
        <w:rPr>
          <w:rFonts w:ascii="Times New Roman" w:hAnsi="Times New Roman"/>
          <w:sz w:val="24"/>
          <w:szCs w:val="24"/>
          <w:lang w:val="bg-BG"/>
        </w:rPr>
      </w:pPr>
      <w:r w:rsidRPr="00BB532B">
        <w:rPr>
          <w:rFonts w:ascii="Times New Roman" w:hAnsi="Times New Roman"/>
          <w:sz w:val="24"/>
          <w:szCs w:val="24"/>
          <w:lang w:val="bg-BG"/>
        </w:rPr>
        <w:t>Единичен разход за обучение с логистика - 424.00 лв., включващ: материали и пособия; възнаграждение на лектора за 48 академични часа; дневни, пътни и квартирни на лектора; дневни, пътни и квартирни на обучаем.</w:t>
      </w:r>
    </w:p>
    <w:p w:rsidR="0049550E" w:rsidRPr="00BB532B" w:rsidRDefault="0049550E" w:rsidP="00BB532B">
      <w:pPr>
        <w:pStyle w:val="Default"/>
        <w:spacing w:after="120" w:line="276" w:lineRule="auto"/>
        <w:jc w:val="both"/>
        <w:rPr>
          <w:color w:val="auto"/>
        </w:rPr>
      </w:pPr>
      <w:r w:rsidRPr="00BB532B">
        <w:tab/>
        <w:t>*</w:t>
      </w:r>
      <w:r w:rsidRPr="00BB532B">
        <w:rPr>
          <w:b/>
          <w:color w:val="auto"/>
        </w:rPr>
        <w:t xml:space="preserve"> </w:t>
      </w:r>
      <w:r w:rsidRPr="00BB532B">
        <w:rPr>
          <w:color w:val="auto"/>
        </w:rPr>
        <w:t>под дневни на обучаемия следва да се разбира разходът за организирането на</w:t>
      </w:r>
      <w:r w:rsidRPr="00BB532B">
        <w:t xml:space="preserve"> </w:t>
      </w:r>
      <w:r w:rsidRPr="00BB532B">
        <w:rPr>
          <w:color w:val="auto"/>
        </w:rPr>
        <w:t xml:space="preserve">поне една кафе-пауза, осигурена с минерална вода, кафе, чай, безалкохолни напитки, дребни сладки и соленки, както и поне едно зареждане на залата с минерална вода. </w:t>
      </w:r>
    </w:p>
    <w:p w:rsidR="0049550E" w:rsidRPr="00BB532B" w:rsidRDefault="0049550E" w:rsidP="00BB532B">
      <w:pPr>
        <w:pStyle w:val="Default"/>
        <w:spacing w:after="120" w:line="276" w:lineRule="auto"/>
        <w:jc w:val="both"/>
        <w:rPr>
          <w:color w:val="auto"/>
        </w:rPr>
      </w:pPr>
      <w:r w:rsidRPr="00BB532B">
        <w:rPr>
          <w:color w:val="auto"/>
        </w:rPr>
        <w:lastRenderedPageBreak/>
        <w:tab/>
      </w:r>
      <w:r w:rsidRPr="00BB532B">
        <w:rPr>
          <w:b/>
          <w:color w:val="auto"/>
        </w:rPr>
        <w:t>*</w:t>
      </w:r>
      <w:r w:rsidRPr="00BB532B">
        <w:rPr>
          <w:color w:val="auto"/>
        </w:rPr>
        <w:t xml:space="preserve"> под </w:t>
      </w:r>
      <w:r w:rsidRPr="00BB532B">
        <w:t>пътни на обучаемия</w:t>
      </w:r>
      <w:r w:rsidRPr="00BB532B">
        <w:rPr>
          <w:color w:val="auto"/>
        </w:rPr>
        <w:t xml:space="preserve"> следва да се разбира разходът, който </w:t>
      </w:r>
      <w:r w:rsidRPr="00BB532B">
        <w:rPr>
          <w:b/>
          <w:color w:val="auto"/>
        </w:rPr>
        <w:t>ИЗПЪЛНИТЕЛЯТ</w:t>
      </w:r>
      <w:r w:rsidRPr="00BB532B">
        <w:rPr>
          <w:color w:val="auto"/>
        </w:rPr>
        <w:t xml:space="preserve"> се задължава да изплати на всяко обучаемо лице, което пътува от населено място, различно от населеното място, където се провежда обучението.</w:t>
      </w:r>
    </w:p>
    <w:p w:rsidR="0049550E" w:rsidRPr="00BB532B" w:rsidRDefault="0049550E" w:rsidP="00BB532B">
      <w:pPr>
        <w:pStyle w:val="Default"/>
        <w:numPr>
          <w:ilvl w:val="0"/>
          <w:numId w:val="4"/>
        </w:numPr>
        <w:spacing w:after="120" w:line="276" w:lineRule="auto"/>
        <w:jc w:val="both"/>
        <w:rPr>
          <w:b/>
          <w:color w:val="auto"/>
        </w:rPr>
      </w:pPr>
      <w:r w:rsidRPr="00BB532B">
        <w:rPr>
          <w:color w:val="auto"/>
        </w:rPr>
        <w:t>В т. III. Форма на провеждане на обученията, накрая се добавя</w:t>
      </w:r>
      <w:r w:rsidRPr="00BB532B">
        <w:rPr>
          <w:b/>
          <w:color w:val="auto"/>
        </w:rPr>
        <w:t xml:space="preserve"> </w:t>
      </w:r>
      <w:r w:rsidRPr="00BB532B">
        <w:rPr>
          <w:color w:val="auto"/>
        </w:rPr>
        <w:t>следния текст:</w:t>
      </w:r>
      <w:r w:rsidRPr="00BB532B">
        <w:rPr>
          <w:b/>
          <w:color w:val="auto"/>
        </w:rPr>
        <w:fldChar w:fldCharType="begin"/>
      </w:r>
      <w:r w:rsidRPr="00BB532B">
        <w:rPr>
          <w:b/>
          <w:color w:val="auto"/>
        </w:rPr>
        <w:instrText xml:space="preserve"> LINK Excel.Sheet.12 "C:\\Users\\i.yordanova\\Desktop\\Петя-Проект КПС\\Annex VI_Детайлна разбивка_D1.xlsx" I.1!R4C3:R9C5 \a \f 4 \h  \* MERGEFORMAT </w:instrText>
      </w:r>
      <w:r w:rsidRPr="00BB532B">
        <w:rPr>
          <w:b/>
          <w:color w:val="auto"/>
        </w:rPr>
        <w:fldChar w:fldCharType="separate"/>
      </w:r>
    </w:p>
    <w:p w:rsidR="0049550E" w:rsidRPr="00BB532B" w:rsidRDefault="0049550E" w:rsidP="00BB532B">
      <w:pPr>
        <w:pStyle w:val="Default"/>
        <w:spacing w:after="120" w:line="276" w:lineRule="auto"/>
        <w:ind w:firstLine="708"/>
        <w:rPr>
          <w:color w:val="auto"/>
        </w:rPr>
      </w:pPr>
      <w:r w:rsidRPr="00BB532B">
        <w:rPr>
          <w:color w:val="auto"/>
        </w:rPr>
        <w:fldChar w:fldCharType="end"/>
      </w:r>
      <w:r w:rsidRPr="00BB532B">
        <w:rPr>
          <w:color w:val="auto"/>
        </w:rPr>
        <w:t>„Присъствените часове по т. 1 могат да се организират</w:t>
      </w:r>
      <w:r w:rsidRPr="00BB532B">
        <w:rPr>
          <w:color w:val="auto"/>
          <w:lang w:eastAsia="bg-BG"/>
        </w:rPr>
        <w:t xml:space="preserve"> </w:t>
      </w:r>
      <w:r w:rsidRPr="00BB532B">
        <w:rPr>
          <w:color w:val="auto"/>
        </w:rPr>
        <w:t>включително и при синхронно обучение от разстояние в електронна среда“.</w:t>
      </w:r>
    </w:p>
    <w:p w:rsidR="0049550E" w:rsidRPr="00BB532B" w:rsidRDefault="0049550E" w:rsidP="00BB532B">
      <w:pPr>
        <w:pStyle w:val="Default"/>
        <w:spacing w:after="120" w:line="276" w:lineRule="auto"/>
        <w:ind w:firstLine="708"/>
        <w:jc w:val="both"/>
        <w:rPr>
          <w:color w:val="auto"/>
        </w:rPr>
      </w:pPr>
      <w:r w:rsidRPr="00BB532B">
        <w:rPr>
          <w:color w:val="auto"/>
        </w:rPr>
        <w:t xml:space="preserve">Посочените в настоящия анекс единични разходи за един обучаем се прилагат от </w:t>
      </w:r>
      <w:r w:rsidRPr="00BB532B">
        <w:rPr>
          <w:b/>
          <w:color w:val="auto"/>
        </w:rPr>
        <w:t>01.01.2021 г.</w:t>
      </w:r>
    </w:p>
    <w:p w:rsidR="0049550E" w:rsidRPr="00BB532B" w:rsidRDefault="0049550E" w:rsidP="00BB532B">
      <w:pPr>
        <w:spacing w:after="120" w:line="276" w:lineRule="auto"/>
        <w:ind w:firstLine="708"/>
        <w:jc w:val="both"/>
      </w:pPr>
      <w:r w:rsidRPr="00BB532B">
        <w:t>Анексът се сключи в 3 еднообразни екземпляра, по един за страните и един за досието на проекта.</w:t>
      </w:r>
    </w:p>
    <w:p w:rsidR="0049550E" w:rsidRPr="00BB532B" w:rsidRDefault="0049550E" w:rsidP="00BB532B">
      <w:pPr>
        <w:spacing w:after="120" w:line="276" w:lineRule="auto"/>
        <w:ind w:firstLine="708"/>
        <w:jc w:val="both"/>
      </w:pPr>
    </w:p>
    <w:p w:rsidR="0049550E" w:rsidRPr="00BB532B" w:rsidRDefault="0049550E" w:rsidP="00BB532B">
      <w:pPr>
        <w:spacing w:after="120" w:line="276" w:lineRule="auto"/>
        <w:jc w:val="both"/>
      </w:pPr>
      <w:r w:rsidRPr="00BB532B">
        <w:rPr>
          <w:b/>
        </w:rPr>
        <w:t>ВЪЗЛОЖИТЕЛ:</w:t>
      </w:r>
      <w:r w:rsidRPr="00BB532B">
        <w:t xml:space="preserve"> </w:t>
      </w:r>
      <w:r w:rsidRPr="00BB532B">
        <w:rPr>
          <w:b/>
        </w:rPr>
        <w:t>.......................................</w:t>
      </w:r>
      <w:r w:rsidRPr="00BB532B">
        <w:t xml:space="preserve"> </w:t>
      </w:r>
      <w:r w:rsidRPr="00BB532B">
        <w:tab/>
        <w:t xml:space="preserve"> </w:t>
      </w:r>
      <w:r w:rsidRPr="00BB532B">
        <w:rPr>
          <w:b/>
        </w:rPr>
        <w:t>ИЗПЪЛНИТЕЛ: ………..............................</w:t>
      </w:r>
      <w:r w:rsidRPr="00BB532B">
        <w:rPr>
          <w:b/>
        </w:rPr>
        <w:tab/>
      </w:r>
    </w:p>
    <w:p w:rsidR="0049550E" w:rsidRPr="00BB532B" w:rsidRDefault="0049550E" w:rsidP="00BB532B">
      <w:pPr>
        <w:spacing w:after="120" w:line="276" w:lineRule="auto"/>
        <w:ind w:left="1416" w:firstLine="708"/>
        <w:jc w:val="both"/>
        <w:rPr>
          <w:b/>
        </w:rPr>
      </w:pPr>
    </w:p>
    <w:p w:rsidR="0049550E" w:rsidRPr="00BB532B" w:rsidRDefault="0049550E" w:rsidP="00BB532B">
      <w:pPr>
        <w:spacing w:after="120" w:line="276" w:lineRule="auto"/>
        <w:jc w:val="both"/>
        <w:rPr>
          <w:lang w:val="en-US"/>
        </w:rPr>
      </w:pPr>
      <w:r w:rsidRPr="00BB532B">
        <w:t>ГЛАВЕН СЧЕТОВОДИТЕЛ:</w:t>
      </w:r>
      <w:r w:rsidR="00BB532B" w:rsidRPr="00BB532B">
        <w:rPr>
          <w:b/>
          <w:lang w:val="en-US"/>
        </w:rPr>
        <w:t>…………………</w:t>
      </w:r>
      <w:r w:rsidR="00BB532B">
        <w:rPr>
          <w:lang w:val="en-US"/>
        </w:rPr>
        <w:tab/>
      </w:r>
      <w:r w:rsidRPr="00BB532B">
        <w:t>ГЛАВЕН СЧЕТОВОДИТЕЛ:</w:t>
      </w:r>
      <w:r w:rsidR="00BB532B" w:rsidRPr="00BB532B">
        <w:rPr>
          <w:b/>
          <w:lang w:val="en-US"/>
        </w:rPr>
        <w:t>……………….</w:t>
      </w:r>
    </w:p>
    <w:p w:rsidR="00C12ECE" w:rsidRPr="00BB532B" w:rsidRDefault="00C12ECE" w:rsidP="00BB532B">
      <w:pPr>
        <w:spacing w:after="120" w:line="276" w:lineRule="auto"/>
      </w:pPr>
    </w:p>
    <w:sectPr w:rsidR="00C12ECE" w:rsidRPr="00BB532B" w:rsidSect="003D3228">
      <w:headerReference w:type="default" r:id="rId7"/>
      <w:footerReference w:type="default" r:id="rId8"/>
      <w:pgSz w:w="11906" w:h="16838"/>
      <w:pgMar w:top="2410" w:right="992" w:bottom="1560" w:left="992"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73A" w:rsidRDefault="00A4173A" w:rsidP="00C5450D">
      <w:r>
        <w:separator/>
      </w:r>
    </w:p>
  </w:endnote>
  <w:endnote w:type="continuationSeparator" w:id="0">
    <w:p w:rsidR="00A4173A" w:rsidRDefault="00A4173A"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9B2" w:rsidRPr="000D6D14" w:rsidRDefault="004E09B2" w:rsidP="000D6D14">
    <w:pPr>
      <w:pStyle w:val="Footer"/>
      <w:tabs>
        <w:tab w:val="clear" w:pos="9072"/>
      </w:tabs>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Hyperlink"/>
          <w:i/>
          <w:sz w:val="22"/>
          <w:szCs w:val="22"/>
          <w:lang w:val="en-US"/>
        </w:rPr>
        <w:t>www.eufunds.bg</w:t>
      </w:r>
    </w:hyperlink>
    <w:r>
      <w:rPr>
        <w:i/>
        <w:sz w:val="22"/>
        <w:szCs w:val="22"/>
        <w:lang w:val="en-US"/>
      </w:rPr>
      <w:t xml:space="preserve"> ------------------------------------------------------</w:t>
    </w:r>
  </w:p>
  <w:p w:rsidR="00C5450D" w:rsidRPr="00B83454" w:rsidRDefault="008C51C1" w:rsidP="00C5450D">
    <w:pPr>
      <w:pStyle w:val="Footer"/>
      <w:jc w:val="center"/>
      <w:rPr>
        <w:i/>
        <w:sz w:val="20"/>
        <w:szCs w:val="22"/>
      </w:rPr>
    </w:pPr>
    <w:r>
      <w:rPr>
        <w:i/>
        <w:sz w:val="20"/>
        <w:szCs w:val="22"/>
      </w:rPr>
      <w:t xml:space="preserve">Проект </w:t>
    </w:r>
    <w:r w:rsidR="00014033" w:rsidRPr="00B83454">
      <w:rPr>
        <w:i/>
        <w:sz w:val="20"/>
        <w:szCs w:val="22"/>
      </w:rPr>
      <w:t>BG05M2OP001-2.010-0001</w:t>
    </w:r>
    <w:r w:rsidR="00B83454" w:rsidRPr="00B83454">
      <w:rPr>
        <w:i/>
        <w:sz w:val="20"/>
        <w:szCs w:val="22"/>
      </w:rPr>
      <w:t xml:space="preserve"> „Квалификация за професионално развитие на педагогическите специалисти“</w:t>
    </w:r>
    <w:r w:rsidR="00C5450D" w:rsidRPr="00B83454">
      <w:rPr>
        <w:i/>
        <w:sz w:val="20"/>
        <w:szCs w:val="22"/>
      </w:rPr>
      <w:t>, финансиран от Оперативна програма „</w:t>
    </w:r>
    <w:r w:rsidR="000B7E9B" w:rsidRPr="00B83454">
      <w:rPr>
        <w:i/>
        <w:sz w:val="20"/>
        <w:szCs w:val="22"/>
      </w:rPr>
      <w:t>Наука и образование за интелигентен растеж</w:t>
    </w:r>
    <w:r w:rsidR="00C5450D" w:rsidRPr="00B83454">
      <w:rPr>
        <w:i/>
        <w:sz w:val="20"/>
        <w:szCs w:val="22"/>
      </w:rPr>
      <w:t>“</w:t>
    </w:r>
    <w:r w:rsidR="00437205" w:rsidRPr="00B83454">
      <w:rPr>
        <w:i/>
        <w:sz w:val="20"/>
        <w:szCs w:val="22"/>
      </w:rPr>
      <w:t xml:space="preserve"> 2014-2020</w:t>
    </w:r>
    <w:r w:rsidR="00C5450D" w:rsidRPr="00B83454">
      <w:rPr>
        <w:i/>
        <w:sz w:val="20"/>
        <w:szCs w:val="22"/>
      </w:rPr>
      <w:t>, съфина</w:t>
    </w:r>
    <w:r w:rsidR="008651F9" w:rsidRPr="00B83454">
      <w:rPr>
        <w:i/>
        <w:sz w:val="20"/>
        <w:szCs w:val="22"/>
      </w:rPr>
      <w:t>н</w:t>
    </w:r>
    <w:r w:rsidR="00C5450D" w:rsidRPr="00B83454">
      <w:rPr>
        <w:i/>
        <w:sz w:val="20"/>
        <w:szCs w:val="22"/>
      </w:rPr>
      <w:t>сирана от Европейския съюз чрез Европейски</w:t>
    </w:r>
    <w:r w:rsidR="001728DB" w:rsidRPr="00B83454">
      <w:rPr>
        <w:i/>
        <w:sz w:val="20"/>
        <w:szCs w:val="22"/>
      </w:rPr>
      <w:t>те</w:t>
    </w:r>
    <w:r w:rsidR="00C5450D" w:rsidRPr="00B83454">
      <w:rPr>
        <w:i/>
        <w:sz w:val="20"/>
        <w:szCs w:val="22"/>
      </w:rPr>
      <w:t xml:space="preserve"> </w:t>
    </w:r>
    <w:r w:rsidR="001728DB" w:rsidRPr="00B83454">
      <w:rPr>
        <w:i/>
        <w:sz w:val="20"/>
        <w:szCs w:val="22"/>
      </w:rPr>
      <w:t>структурни и инвестиционни</w:t>
    </w:r>
    <w:r w:rsidR="00C5450D" w:rsidRPr="00B83454">
      <w:rPr>
        <w:i/>
        <w:sz w:val="20"/>
        <w:szCs w:val="22"/>
      </w:rPr>
      <w:t xml:space="preserve"> фонд</w:t>
    </w:r>
    <w:r w:rsidR="001728DB" w:rsidRPr="00B83454">
      <w:rPr>
        <w:i/>
        <w:sz w:val="20"/>
        <w:szCs w:val="22"/>
      </w:rPr>
      <w:t>ове</w:t>
    </w:r>
    <w:r w:rsidR="00C5450D" w:rsidRPr="00B83454">
      <w:rPr>
        <w:i/>
        <w:sz w:val="20"/>
        <w:szCs w:val="22"/>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73A" w:rsidRDefault="00A4173A" w:rsidP="00C5450D">
      <w:r>
        <w:separator/>
      </w:r>
    </w:p>
  </w:footnote>
  <w:footnote w:type="continuationSeparator" w:id="0">
    <w:p w:rsidR="00A4173A" w:rsidRDefault="00A4173A" w:rsidP="00C545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0D" w:rsidRDefault="00C5450D">
    <w:pPr>
      <w:pStyle w:val="Header"/>
      <w:pBdr>
        <w:bottom w:val="single" w:sz="6" w:space="1" w:color="auto"/>
      </w:pBdr>
      <w:rPr>
        <w:lang w:val="en-US"/>
      </w:rPr>
    </w:pPr>
    <w:r>
      <w:rPr>
        <w:noProof/>
      </w:rPr>
      <w:drawing>
        <wp:inline distT="0" distB="0" distL="0" distR="0" wp14:anchorId="3EC68405" wp14:editId="60C38F14">
          <wp:extent cx="2475186" cy="836246"/>
          <wp:effectExtent l="0" t="0" r="0"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2131"/>
                  <a:stretch/>
                </pic:blipFill>
                <pic:spPr bwMode="auto">
                  <a:xfrm>
                    <a:off x="0" y="0"/>
                    <a:ext cx="2502332" cy="845417"/>
                  </a:xfrm>
                  <a:prstGeom prst="rect">
                    <a:avLst/>
                  </a:prstGeom>
                  <a:noFill/>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r>
      <w:rPr>
        <w:noProof/>
      </w:rPr>
      <w:drawing>
        <wp:inline distT="0" distB="0" distL="0" distR="0" wp14:anchorId="4954D53F" wp14:editId="5685A9B4">
          <wp:extent cx="2349062" cy="829643"/>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60893" cy="83382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85743"/>
    <w:multiLevelType w:val="hybridMultilevel"/>
    <w:tmpl w:val="D200D22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F8F2EFE"/>
    <w:multiLevelType w:val="hybridMultilevel"/>
    <w:tmpl w:val="4AAAECD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3B16035F"/>
    <w:multiLevelType w:val="hybridMultilevel"/>
    <w:tmpl w:val="D3C26DAE"/>
    <w:lvl w:ilvl="0" w:tplc="00565106">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5EC85906"/>
    <w:multiLevelType w:val="hybridMultilevel"/>
    <w:tmpl w:val="073E3CD0"/>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 w15:restartNumberingAfterBreak="0">
    <w:nsid w:val="69534FDB"/>
    <w:multiLevelType w:val="hybridMultilevel"/>
    <w:tmpl w:val="3FF4ED62"/>
    <w:lvl w:ilvl="0" w:tplc="78B4FD42">
      <w:start w:val="1"/>
      <w:numFmt w:val="decimal"/>
      <w:lvlText w:val="%1."/>
      <w:lvlJc w:val="left"/>
      <w:pPr>
        <w:ind w:left="720" w:hanging="360"/>
      </w:pPr>
      <w:rPr>
        <w:rFonts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D563929"/>
    <w:multiLevelType w:val="hybridMultilevel"/>
    <w:tmpl w:val="631A730A"/>
    <w:lvl w:ilvl="0" w:tplc="85D6E3B6">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14033"/>
    <w:rsid w:val="000470DF"/>
    <w:rsid w:val="00047DDE"/>
    <w:rsid w:val="000611E2"/>
    <w:rsid w:val="000B487A"/>
    <w:rsid w:val="000B7E9B"/>
    <w:rsid w:val="000D6D14"/>
    <w:rsid w:val="000E18B1"/>
    <w:rsid w:val="000F1A76"/>
    <w:rsid w:val="00127AB7"/>
    <w:rsid w:val="001728DB"/>
    <w:rsid w:val="00175B77"/>
    <w:rsid w:val="00281C22"/>
    <w:rsid w:val="00285A16"/>
    <w:rsid w:val="002C32B4"/>
    <w:rsid w:val="002C5A74"/>
    <w:rsid w:val="003274A6"/>
    <w:rsid w:val="003D3228"/>
    <w:rsid w:val="003D5425"/>
    <w:rsid w:val="003F3D2C"/>
    <w:rsid w:val="004031DC"/>
    <w:rsid w:val="00437205"/>
    <w:rsid w:val="0049550E"/>
    <w:rsid w:val="004A5300"/>
    <w:rsid w:val="004C7BF5"/>
    <w:rsid w:val="004D597A"/>
    <w:rsid w:val="004E09B2"/>
    <w:rsid w:val="0065193E"/>
    <w:rsid w:val="006B7C00"/>
    <w:rsid w:val="006C78A5"/>
    <w:rsid w:val="006D79DD"/>
    <w:rsid w:val="006E5325"/>
    <w:rsid w:val="00713782"/>
    <w:rsid w:val="00760ED5"/>
    <w:rsid w:val="00761F88"/>
    <w:rsid w:val="008651F9"/>
    <w:rsid w:val="008C51C1"/>
    <w:rsid w:val="009179FE"/>
    <w:rsid w:val="00954B1F"/>
    <w:rsid w:val="00957235"/>
    <w:rsid w:val="009A54D0"/>
    <w:rsid w:val="009D0D9F"/>
    <w:rsid w:val="00A4173A"/>
    <w:rsid w:val="00A46BEF"/>
    <w:rsid w:val="00B83454"/>
    <w:rsid w:val="00BB532B"/>
    <w:rsid w:val="00C12ECE"/>
    <w:rsid w:val="00C5450D"/>
    <w:rsid w:val="00CC2E7E"/>
    <w:rsid w:val="00D476D8"/>
    <w:rsid w:val="00F054D4"/>
    <w:rsid w:val="00F41CD1"/>
    <w:rsid w:val="00FA67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84AD31-B634-4BFF-B12A-EC9332CE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476D8"/>
    <w:rPr>
      <w:rFonts w:ascii="Tahoma" w:hAnsi="Tahoma" w:cs="Tahoma"/>
      <w:sz w:val="16"/>
      <w:szCs w:val="16"/>
    </w:rPr>
  </w:style>
  <w:style w:type="character" w:customStyle="1" w:styleId="BalloonTextChar">
    <w:name w:val="Balloon Text Char"/>
    <w:basedOn w:val="DefaultParagraphFont"/>
    <w:link w:val="BalloonText"/>
    <w:rsid w:val="00D476D8"/>
    <w:rPr>
      <w:rFonts w:ascii="Tahoma" w:hAnsi="Tahoma" w:cs="Tahoma"/>
      <w:sz w:val="16"/>
      <w:szCs w:val="16"/>
    </w:rPr>
  </w:style>
  <w:style w:type="paragraph" w:styleId="Header">
    <w:name w:val="header"/>
    <w:basedOn w:val="Normal"/>
    <w:link w:val="HeaderChar"/>
    <w:rsid w:val="00C5450D"/>
    <w:pPr>
      <w:tabs>
        <w:tab w:val="center" w:pos="4536"/>
        <w:tab w:val="right" w:pos="9072"/>
      </w:tabs>
    </w:pPr>
  </w:style>
  <w:style w:type="character" w:customStyle="1" w:styleId="HeaderChar">
    <w:name w:val="Header Char"/>
    <w:basedOn w:val="DefaultParagraphFont"/>
    <w:link w:val="Header"/>
    <w:rsid w:val="00C5450D"/>
    <w:rPr>
      <w:sz w:val="24"/>
      <w:szCs w:val="24"/>
    </w:rPr>
  </w:style>
  <w:style w:type="paragraph" w:styleId="Footer">
    <w:name w:val="footer"/>
    <w:basedOn w:val="Normal"/>
    <w:link w:val="FooterChar"/>
    <w:rsid w:val="00C5450D"/>
    <w:pPr>
      <w:tabs>
        <w:tab w:val="center" w:pos="4536"/>
        <w:tab w:val="right" w:pos="9072"/>
      </w:tabs>
    </w:pPr>
  </w:style>
  <w:style w:type="character" w:customStyle="1" w:styleId="FooterChar">
    <w:name w:val="Footer Char"/>
    <w:basedOn w:val="DefaultParagraphFont"/>
    <w:link w:val="Footer"/>
    <w:rsid w:val="00C5450D"/>
    <w:rPr>
      <w:sz w:val="24"/>
      <w:szCs w:val="24"/>
    </w:rPr>
  </w:style>
  <w:style w:type="character" w:styleId="Hyperlink">
    <w:name w:val="Hyperlink"/>
    <w:basedOn w:val="DefaultParagraphFont"/>
    <w:rsid w:val="004E09B2"/>
    <w:rPr>
      <w:color w:val="0000FF" w:themeColor="hyperlink"/>
      <w:u w:val="single"/>
    </w:rPr>
  </w:style>
  <w:style w:type="paragraph" w:styleId="ListParagraph">
    <w:name w:val="List Paragraph"/>
    <w:aliases w:val="List Paragraph1,List1,Colorful List - Accent 11,List Paragraph11,List Paragraph111,List Paragraph1111"/>
    <w:basedOn w:val="Normal"/>
    <w:link w:val="ListParagraphChar"/>
    <w:qFormat/>
    <w:rsid w:val="000D6D14"/>
    <w:pPr>
      <w:spacing w:after="200" w:line="276" w:lineRule="auto"/>
      <w:ind w:left="720"/>
      <w:contextualSpacing/>
    </w:pPr>
    <w:rPr>
      <w:rFonts w:ascii="Verdana" w:eastAsia="Calibri" w:hAnsi="Verdana"/>
      <w:sz w:val="20"/>
      <w:szCs w:val="22"/>
      <w:lang w:val="en-GB" w:eastAsia="en-US"/>
    </w:rPr>
  </w:style>
  <w:style w:type="character" w:customStyle="1" w:styleId="ListParagraphChar">
    <w:name w:val="List Paragraph Char"/>
    <w:aliases w:val="List Paragraph1 Char,List1 Char,Colorful List - Accent 11 Char,List Paragraph11 Char,List Paragraph111 Char,List Paragraph1111 Char"/>
    <w:link w:val="ListParagraph"/>
    <w:rsid w:val="000D6D14"/>
    <w:rPr>
      <w:rFonts w:ascii="Verdana" w:eastAsia="Calibri" w:hAnsi="Verdana"/>
      <w:szCs w:val="22"/>
      <w:lang w:val="en-GB" w:eastAsia="en-US"/>
    </w:rPr>
  </w:style>
  <w:style w:type="table" w:styleId="TableGrid">
    <w:name w:val="Table Grid"/>
    <w:basedOn w:val="TableNormal"/>
    <w:rsid w:val="003D322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rsid w:val="0049550E"/>
    <w:pPr>
      <w:ind w:left="1843" w:hanging="1843"/>
      <w:jc w:val="both"/>
    </w:pPr>
    <w:rPr>
      <w:b/>
      <w:sz w:val="28"/>
      <w:szCs w:val="20"/>
      <w:lang w:eastAsia="en-US"/>
    </w:rPr>
  </w:style>
  <w:style w:type="character" w:customStyle="1" w:styleId="BodyTextIndentChar">
    <w:name w:val="Body Text Indent Char"/>
    <w:basedOn w:val="DefaultParagraphFont"/>
    <w:link w:val="BodyTextIndent"/>
    <w:uiPriority w:val="99"/>
    <w:rsid w:val="0049550E"/>
    <w:rPr>
      <w:b/>
      <w:sz w:val="28"/>
      <w:lang w:eastAsia="en-US"/>
    </w:rPr>
  </w:style>
  <w:style w:type="paragraph" w:customStyle="1" w:styleId="Default">
    <w:name w:val="Default"/>
    <w:uiPriority w:val="99"/>
    <w:rsid w:val="0049550E"/>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Svetoslav Spasov</cp:lastModifiedBy>
  <cp:revision>2</cp:revision>
  <dcterms:created xsi:type="dcterms:W3CDTF">2021-01-14T08:05:00Z</dcterms:created>
  <dcterms:modified xsi:type="dcterms:W3CDTF">2021-01-14T08:05:00Z</dcterms:modified>
</cp:coreProperties>
</file>